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4C" w:rsidRPr="00222F03" w:rsidRDefault="0003356E" w:rsidP="0040745A">
      <w:pPr>
        <w:shd w:val="clear" w:color="auto" w:fill="FFFFFF"/>
        <w:jc w:val="center"/>
        <w:rPr>
          <w:rFonts w:ascii="Arial" w:hAnsi="Arial" w:cs="Arial"/>
          <w:b/>
          <w:spacing w:val="-2"/>
          <w:sz w:val="28"/>
          <w:szCs w:val="28"/>
          <w:lang w:val="en-US"/>
        </w:rPr>
      </w:pPr>
      <w:r>
        <w:rPr>
          <w:rFonts w:ascii="Arial" w:hAnsi="Arial" w:cs="Arial"/>
          <w:b/>
          <w:spacing w:val="-2"/>
          <w:sz w:val="28"/>
          <w:szCs w:val="28"/>
          <w:lang w:val="en-US"/>
        </w:rPr>
        <w:t xml:space="preserve">Model of “Engineering forces” for </w:t>
      </w:r>
      <w:r w:rsidR="00EA01D3">
        <w:rPr>
          <w:rFonts w:ascii="Arial" w:hAnsi="Arial" w:cs="Arial"/>
          <w:b/>
          <w:spacing w:val="-2"/>
          <w:sz w:val="28"/>
          <w:szCs w:val="28"/>
          <w:lang w:val="en-US"/>
        </w:rPr>
        <w:t>training</w:t>
      </w:r>
      <w:r>
        <w:rPr>
          <w:rFonts w:ascii="Arial" w:hAnsi="Arial" w:cs="Arial"/>
          <w:b/>
          <w:spacing w:val="-2"/>
          <w:sz w:val="28"/>
          <w:szCs w:val="28"/>
          <w:lang w:val="en-US"/>
        </w:rPr>
        <w:t xml:space="preserve"> of engineers</w:t>
      </w:r>
    </w:p>
    <w:p w:rsidR="008D1000" w:rsidRPr="008D1000" w:rsidRDefault="0003356E" w:rsidP="008D1000">
      <w:pPr>
        <w:spacing w:before="120"/>
        <w:jc w:val="center"/>
        <w:rPr>
          <w:rFonts w:ascii="Arial" w:hAnsi="Arial" w:cs="Arial"/>
          <w:sz w:val="28"/>
          <w:szCs w:val="28"/>
          <w:vertAlign w:val="superscript"/>
        </w:rPr>
      </w:pPr>
      <w:r>
        <w:rPr>
          <w:rFonts w:ascii="Arial" w:hAnsi="Arial" w:cs="Arial"/>
          <w:sz w:val="28"/>
          <w:szCs w:val="28"/>
          <w:lang w:val="en-US"/>
        </w:rPr>
        <w:t xml:space="preserve">O.I. </w:t>
      </w:r>
      <w:proofErr w:type="spellStart"/>
      <w:r>
        <w:rPr>
          <w:rFonts w:ascii="Arial" w:hAnsi="Arial" w:cs="Arial"/>
          <w:sz w:val="28"/>
          <w:szCs w:val="28"/>
          <w:lang w:val="en-US"/>
        </w:rPr>
        <w:t>Rebrin</w:t>
      </w:r>
      <w:proofErr w:type="spellEnd"/>
      <w:r w:rsidR="008D1000" w:rsidRPr="008D1000">
        <w:rPr>
          <w:rFonts w:ascii="Arial" w:hAnsi="Arial" w:cs="Arial"/>
          <w:sz w:val="28"/>
          <w:szCs w:val="28"/>
          <w:vertAlign w:val="superscript"/>
        </w:rPr>
        <w:t>a</w:t>
      </w:r>
      <w:r>
        <w:rPr>
          <w:rFonts w:ascii="Arial" w:hAnsi="Arial" w:cs="Arial"/>
          <w:sz w:val="28"/>
          <w:szCs w:val="28"/>
        </w:rPr>
        <w:t xml:space="preserve">, N.N. </w:t>
      </w:r>
      <w:proofErr w:type="spellStart"/>
      <w:r>
        <w:rPr>
          <w:rFonts w:ascii="Arial" w:hAnsi="Arial" w:cs="Arial"/>
          <w:sz w:val="28"/>
          <w:szCs w:val="28"/>
        </w:rPr>
        <w:t>Gugis</w:t>
      </w:r>
      <w:r w:rsidR="008D1000" w:rsidRPr="008D1000">
        <w:rPr>
          <w:rFonts w:ascii="Arial" w:hAnsi="Arial" w:cs="Arial"/>
          <w:sz w:val="28"/>
          <w:szCs w:val="28"/>
          <w:vertAlign w:val="superscript"/>
        </w:rPr>
        <w:t>b</w:t>
      </w:r>
      <w:proofErr w:type="spellEnd"/>
      <w:r>
        <w:rPr>
          <w:rFonts w:ascii="Arial" w:hAnsi="Arial" w:cs="Arial"/>
          <w:sz w:val="28"/>
          <w:szCs w:val="28"/>
        </w:rPr>
        <w:t xml:space="preserve">, S.A. </w:t>
      </w:r>
      <w:proofErr w:type="spellStart"/>
      <w:r>
        <w:rPr>
          <w:rFonts w:ascii="Arial" w:hAnsi="Arial" w:cs="Arial"/>
          <w:sz w:val="28"/>
          <w:szCs w:val="28"/>
        </w:rPr>
        <w:t>Kamenskij</w:t>
      </w:r>
      <w:proofErr w:type="spellEnd"/>
      <w:r w:rsidR="00C621B7">
        <w:rPr>
          <w:rFonts w:ascii="Arial" w:hAnsi="Arial" w:cs="Arial"/>
          <w:sz w:val="28"/>
          <w:szCs w:val="28"/>
          <w:vertAlign w:val="superscript"/>
          <w:lang w:val="en-US"/>
        </w:rPr>
        <w:t>b</w:t>
      </w:r>
      <w:r w:rsidR="008D1000" w:rsidRPr="008D1000">
        <w:rPr>
          <w:rFonts w:ascii="Arial" w:hAnsi="Arial" w:cs="Arial"/>
          <w:sz w:val="28"/>
          <w:szCs w:val="28"/>
        </w:rPr>
        <w:t>,</w:t>
      </w:r>
      <w:r>
        <w:rPr>
          <w:rFonts w:ascii="Arial" w:hAnsi="Arial" w:cs="Arial"/>
          <w:sz w:val="28"/>
          <w:szCs w:val="28"/>
        </w:rPr>
        <w:t xml:space="preserve"> I.I. </w:t>
      </w:r>
      <w:proofErr w:type="spellStart"/>
      <w:r>
        <w:rPr>
          <w:rFonts w:ascii="Arial" w:hAnsi="Arial" w:cs="Arial"/>
          <w:sz w:val="28"/>
          <w:szCs w:val="28"/>
        </w:rPr>
        <w:t>Sholina</w:t>
      </w:r>
      <w:r w:rsidR="00725042" w:rsidRPr="00725042">
        <w:rPr>
          <w:rFonts w:ascii="Arial" w:hAnsi="Arial" w:cs="Arial"/>
          <w:sz w:val="28"/>
          <w:szCs w:val="28"/>
          <w:vertAlign w:val="superscript"/>
        </w:rPr>
        <w:t>a</w:t>
      </w:r>
      <w:proofErr w:type="spellEnd"/>
      <w:r w:rsidR="00725042">
        <w:rPr>
          <w:rFonts w:ascii="Arial" w:hAnsi="Arial" w:cs="Arial"/>
          <w:sz w:val="28"/>
          <w:szCs w:val="28"/>
        </w:rPr>
        <w:t>,</w:t>
      </w:r>
      <w:r>
        <w:rPr>
          <w:rFonts w:ascii="Arial" w:hAnsi="Arial" w:cs="Arial"/>
          <w:sz w:val="28"/>
          <w:szCs w:val="28"/>
        </w:rPr>
        <w:t xml:space="preserve"> A.S. </w:t>
      </w:r>
      <w:proofErr w:type="spellStart"/>
      <w:r>
        <w:rPr>
          <w:rFonts w:ascii="Arial" w:hAnsi="Arial" w:cs="Arial"/>
          <w:sz w:val="28"/>
          <w:szCs w:val="28"/>
        </w:rPr>
        <w:t>Zhilin</w:t>
      </w:r>
      <w:r>
        <w:rPr>
          <w:rFonts w:ascii="Arial" w:hAnsi="Arial" w:cs="Arial"/>
          <w:sz w:val="28"/>
          <w:szCs w:val="28"/>
          <w:vertAlign w:val="superscript"/>
        </w:rPr>
        <w:t>a</w:t>
      </w:r>
      <w:proofErr w:type="spellEnd"/>
    </w:p>
    <w:p w:rsidR="008D1000" w:rsidRPr="008D1000" w:rsidRDefault="008D1000" w:rsidP="008D1000">
      <w:pPr>
        <w:spacing w:before="120"/>
        <w:jc w:val="center"/>
        <w:rPr>
          <w:rFonts w:ascii="Arial" w:eastAsia="Calibri" w:hAnsi="Arial" w:cs="Arial"/>
          <w:sz w:val="22"/>
          <w:szCs w:val="22"/>
          <w:lang w:val="en-US"/>
        </w:rPr>
      </w:pPr>
      <w:r w:rsidRPr="008D1000">
        <w:rPr>
          <w:rFonts w:ascii="Arial" w:eastAsia="Calibri" w:hAnsi="Arial" w:cs="Arial"/>
          <w:sz w:val="22"/>
          <w:szCs w:val="22"/>
          <w:lang w:val="en-US"/>
        </w:rPr>
        <w:t>a) Ural Federal University named after the first Russian President B.N. Yeltsin, </w:t>
      </w:r>
      <w:r w:rsidRPr="008D1000">
        <w:rPr>
          <w:rFonts w:ascii="Arial" w:eastAsia="Calibri" w:hAnsi="Arial" w:cs="Arial"/>
          <w:sz w:val="22"/>
          <w:szCs w:val="22"/>
          <w:lang w:val="en-US"/>
        </w:rPr>
        <w:br/>
        <w:t>Russia, 620002, Ekaterinburg, street Mira, 19</w:t>
      </w:r>
    </w:p>
    <w:p w:rsidR="008D1000" w:rsidRPr="008D1000" w:rsidRDefault="008D1000" w:rsidP="00C621B7">
      <w:pPr>
        <w:spacing w:before="120"/>
        <w:jc w:val="center"/>
        <w:rPr>
          <w:rFonts w:ascii="Arial" w:eastAsia="Calibri" w:hAnsi="Arial" w:cs="Arial"/>
          <w:sz w:val="22"/>
          <w:szCs w:val="22"/>
          <w:lang w:val="en-US"/>
        </w:rPr>
      </w:pPr>
      <w:r w:rsidRPr="008D1000">
        <w:rPr>
          <w:rFonts w:ascii="Arial" w:eastAsia="Calibri" w:hAnsi="Arial" w:cs="Arial"/>
          <w:sz w:val="22"/>
          <w:szCs w:val="22"/>
          <w:lang w:val="en-US"/>
        </w:rPr>
        <w:t xml:space="preserve">b) </w:t>
      </w:r>
      <w:r w:rsidR="0003356E">
        <w:rPr>
          <w:rFonts w:ascii="Arial" w:eastAsia="Calibri" w:hAnsi="Arial" w:cs="Arial"/>
          <w:sz w:val="22"/>
          <w:szCs w:val="22"/>
          <w:lang w:val="en-US"/>
        </w:rPr>
        <w:t xml:space="preserve">Ltd. </w:t>
      </w:r>
      <w:r w:rsidR="0003356E" w:rsidRPr="0003356E">
        <w:rPr>
          <w:rFonts w:ascii="Arial" w:eastAsia="Calibri" w:hAnsi="Arial" w:cs="Arial"/>
          <w:sz w:val="22"/>
          <w:szCs w:val="22"/>
          <w:lang w:val="en-US"/>
        </w:rPr>
        <w:t>Corporation of ferrous metal producers</w:t>
      </w:r>
      <w:r w:rsidRPr="008D1000">
        <w:rPr>
          <w:rFonts w:ascii="Arial" w:eastAsia="Calibri" w:hAnsi="Arial" w:cs="Arial"/>
          <w:sz w:val="22"/>
          <w:szCs w:val="22"/>
          <w:lang w:val="en-US"/>
        </w:rPr>
        <w:t xml:space="preserve">, </w:t>
      </w:r>
      <w:r w:rsidR="0003356E">
        <w:rPr>
          <w:rFonts w:ascii="Arial" w:eastAsia="Calibri" w:hAnsi="Arial" w:cs="Arial"/>
          <w:sz w:val="22"/>
          <w:szCs w:val="22"/>
          <w:lang w:val="en-US"/>
        </w:rPr>
        <w:t>Russia</w:t>
      </w:r>
      <w:r w:rsidRPr="008D1000">
        <w:rPr>
          <w:rFonts w:ascii="Arial" w:eastAsia="Calibri" w:hAnsi="Arial" w:cs="Arial"/>
          <w:sz w:val="22"/>
          <w:szCs w:val="22"/>
          <w:lang w:val="en-US"/>
        </w:rPr>
        <w:t xml:space="preserve">, </w:t>
      </w:r>
      <w:r w:rsidR="0003356E">
        <w:rPr>
          <w:rFonts w:ascii="Arial" w:eastAsia="Calibri" w:hAnsi="Arial" w:cs="Arial"/>
          <w:sz w:val="22"/>
          <w:szCs w:val="22"/>
          <w:lang w:val="en-US"/>
        </w:rPr>
        <w:t>117630, Moscow, Street</w:t>
      </w:r>
      <w:r w:rsidR="00F2242C">
        <w:rPr>
          <w:rFonts w:ascii="Arial" w:eastAsia="Calibri" w:hAnsi="Arial" w:cs="Arial"/>
          <w:sz w:val="22"/>
          <w:szCs w:val="22"/>
          <w:lang w:val="en-US"/>
        </w:rPr>
        <w:t xml:space="preserve"> </w:t>
      </w:r>
      <w:proofErr w:type="spellStart"/>
      <w:r w:rsidR="00F2242C">
        <w:rPr>
          <w:rFonts w:ascii="Arial" w:eastAsia="Calibri" w:hAnsi="Arial" w:cs="Arial"/>
          <w:sz w:val="22"/>
          <w:szCs w:val="22"/>
          <w:lang w:val="en-US"/>
        </w:rPr>
        <w:t>Starokaluzhskojie</w:t>
      </w:r>
      <w:proofErr w:type="spellEnd"/>
      <w:r w:rsidR="00F2242C">
        <w:rPr>
          <w:rFonts w:ascii="Arial" w:eastAsia="Calibri" w:hAnsi="Arial" w:cs="Arial"/>
          <w:sz w:val="22"/>
          <w:szCs w:val="22"/>
          <w:lang w:val="en-US"/>
        </w:rPr>
        <w:t xml:space="preserve"> </w:t>
      </w:r>
      <w:proofErr w:type="spellStart"/>
      <w:r w:rsidR="00F2242C">
        <w:rPr>
          <w:rFonts w:ascii="Arial" w:eastAsia="Calibri" w:hAnsi="Arial" w:cs="Arial"/>
          <w:sz w:val="22"/>
          <w:szCs w:val="22"/>
          <w:lang w:val="en-US"/>
        </w:rPr>
        <w:t>shosse</w:t>
      </w:r>
      <w:proofErr w:type="spellEnd"/>
      <w:r w:rsidR="00F2242C">
        <w:rPr>
          <w:rFonts w:ascii="Arial" w:eastAsia="Calibri" w:hAnsi="Arial" w:cs="Arial"/>
          <w:sz w:val="22"/>
          <w:szCs w:val="22"/>
          <w:lang w:val="en-US"/>
        </w:rPr>
        <w:t xml:space="preserve">, </w:t>
      </w:r>
      <w:r w:rsidR="0003356E" w:rsidRPr="0003356E">
        <w:rPr>
          <w:rFonts w:ascii="Arial" w:eastAsia="Calibri" w:hAnsi="Arial" w:cs="Arial"/>
          <w:sz w:val="22"/>
          <w:szCs w:val="22"/>
          <w:lang w:val="en-US"/>
        </w:rPr>
        <w:t>62</w:t>
      </w:r>
    </w:p>
    <w:p w:rsidR="008D1000" w:rsidRPr="008D1000" w:rsidRDefault="008D1000" w:rsidP="008D1000">
      <w:pPr>
        <w:pStyle w:val="TTPAddress"/>
        <w:rPr>
          <w:rFonts w:eastAsia="Calibri"/>
        </w:rPr>
      </w:pPr>
      <w:r>
        <w:rPr>
          <w:rFonts w:eastAsia="Calibri"/>
        </w:rPr>
        <w:t>*</w:t>
      </w:r>
      <w:r w:rsidR="0003356E">
        <w:rPr>
          <w:rFonts w:eastAsia="Calibri"/>
        </w:rPr>
        <w:t>iisholina@gmail.com</w:t>
      </w:r>
      <w:r w:rsidRPr="008D1000">
        <w:rPr>
          <w:rFonts w:eastAsia="Calibri"/>
        </w:rPr>
        <w:t xml:space="preserve"> (corresponding author)</w:t>
      </w:r>
    </w:p>
    <w:p w:rsidR="00FA1C4C" w:rsidRPr="00C654B1" w:rsidRDefault="00FA1C4C" w:rsidP="00FA1C4C">
      <w:pPr>
        <w:pStyle w:val="TTPKeywords"/>
        <w:rPr>
          <w:rFonts w:ascii="Times New Roman" w:hAnsi="Times New Roman" w:cs="Times New Roman"/>
          <w:sz w:val="24"/>
          <w:szCs w:val="24"/>
        </w:rPr>
      </w:pPr>
      <w:r w:rsidRPr="00C654B1">
        <w:rPr>
          <w:rFonts w:ascii="Times New Roman" w:hAnsi="Times New Roman" w:cs="Times New Roman"/>
          <w:b/>
          <w:bCs/>
          <w:sz w:val="24"/>
          <w:szCs w:val="24"/>
          <w:lang w:val="de-DE"/>
        </w:rPr>
        <w:t>Keywords:</w:t>
      </w:r>
      <w:r>
        <w:t xml:space="preserve"> </w:t>
      </w:r>
      <w:r w:rsidR="00312CDC" w:rsidRPr="00C654B1">
        <w:rPr>
          <w:rFonts w:ascii="Times New Roman" w:hAnsi="Times New Roman" w:cs="Times New Roman"/>
          <w:sz w:val="24"/>
          <w:szCs w:val="24"/>
        </w:rPr>
        <w:t>engineering education, educational program, life cycle, training, lifelong learning, competence, practice</w:t>
      </w:r>
    </w:p>
    <w:p w:rsidR="00FA1C4C" w:rsidRPr="009B53BA" w:rsidRDefault="00FA1C4C" w:rsidP="004604ED">
      <w:pPr>
        <w:shd w:val="clear" w:color="auto" w:fill="FFFFFF"/>
        <w:spacing w:before="360"/>
        <w:jc w:val="both"/>
        <w:rPr>
          <w:spacing w:val="-2"/>
          <w:sz w:val="24"/>
          <w:szCs w:val="24"/>
          <w:lang w:val="en-US"/>
        </w:rPr>
      </w:pPr>
      <w:r>
        <w:rPr>
          <w:b/>
          <w:bCs/>
          <w:sz w:val="24"/>
          <w:szCs w:val="24"/>
        </w:rPr>
        <w:t>Abstract.</w:t>
      </w:r>
      <w:r>
        <w:rPr>
          <w:sz w:val="24"/>
          <w:szCs w:val="24"/>
        </w:rPr>
        <w:t xml:space="preserve"> </w:t>
      </w:r>
      <w:r w:rsidR="00312CDC" w:rsidRPr="00312CDC">
        <w:rPr>
          <w:sz w:val="24"/>
          <w:szCs w:val="24"/>
          <w:lang w:val="en-US"/>
        </w:rPr>
        <w:t xml:space="preserve">The article presents models of effective interaction between academic institutions and industrial enterprises in the training of engineers. The project "engineering forces" </w:t>
      </w:r>
      <w:proofErr w:type="gramStart"/>
      <w:r w:rsidR="00312CDC">
        <w:rPr>
          <w:sz w:val="24"/>
          <w:szCs w:val="24"/>
          <w:lang w:val="en-US"/>
        </w:rPr>
        <w:t xml:space="preserve">is </w:t>
      </w:r>
      <w:r w:rsidR="00312CDC" w:rsidRPr="00312CDC">
        <w:rPr>
          <w:sz w:val="24"/>
          <w:szCs w:val="24"/>
          <w:lang w:val="en-US"/>
        </w:rPr>
        <w:t>aimed</w:t>
      </w:r>
      <w:proofErr w:type="gramEnd"/>
      <w:r w:rsidR="00312CDC" w:rsidRPr="00312CDC">
        <w:rPr>
          <w:sz w:val="24"/>
          <w:szCs w:val="24"/>
          <w:lang w:val="en-US"/>
        </w:rPr>
        <w:t xml:space="preserve"> at the formation of a system of training of elite engineering </w:t>
      </w:r>
      <w:r w:rsidR="00312CDC">
        <w:rPr>
          <w:sz w:val="24"/>
          <w:szCs w:val="24"/>
          <w:lang w:val="en-US"/>
        </w:rPr>
        <w:t>employees</w:t>
      </w:r>
      <w:r w:rsidR="00312CDC" w:rsidRPr="00312CDC">
        <w:rPr>
          <w:sz w:val="24"/>
          <w:szCs w:val="24"/>
          <w:lang w:val="en-US"/>
        </w:rPr>
        <w:t>. The advantages of the network format of training</w:t>
      </w:r>
      <w:r w:rsidR="00312CDC">
        <w:rPr>
          <w:sz w:val="24"/>
          <w:szCs w:val="24"/>
          <w:lang w:val="en-US"/>
        </w:rPr>
        <w:t xml:space="preserve"> </w:t>
      </w:r>
      <w:proofErr w:type="gramStart"/>
      <w:r w:rsidR="00312CDC" w:rsidRPr="00312CDC">
        <w:rPr>
          <w:sz w:val="24"/>
          <w:szCs w:val="24"/>
          <w:lang w:val="en-US"/>
        </w:rPr>
        <w:t>are described</w:t>
      </w:r>
      <w:proofErr w:type="gramEnd"/>
      <w:r w:rsidR="00312CDC">
        <w:rPr>
          <w:sz w:val="24"/>
          <w:szCs w:val="24"/>
          <w:lang w:val="en-US"/>
        </w:rPr>
        <w:t>,</w:t>
      </w:r>
      <w:r w:rsidR="00312CDC" w:rsidRPr="00312CDC">
        <w:rPr>
          <w:sz w:val="24"/>
          <w:szCs w:val="24"/>
          <w:lang w:val="en-US"/>
        </w:rPr>
        <w:t xml:space="preserve"> </w:t>
      </w:r>
      <w:r w:rsidR="00312CDC">
        <w:rPr>
          <w:sz w:val="24"/>
          <w:szCs w:val="24"/>
          <w:lang w:val="en-US"/>
        </w:rPr>
        <w:t xml:space="preserve">and it is shown that proposed approach allows </w:t>
      </w:r>
      <w:r w:rsidR="00312CDC" w:rsidRPr="00312CDC">
        <w:rPr>
          <w:sz w:val="24"/>
          <w:szCs w:val="24"/>
          <w:lang w:val="en-US"/>
        </w:rPr>
        <w:t>using the best resources of various universities and enterprises of the industry for training of actual competences.</w:t>
      </w:r>
    </w:p>
    <w:p w:rsidR="00FA1C4C" w:rsidRDefault="00FA1C4C" w:rsidP="00FA1C4C">
      <w:pPr>
        <w:pStyle w:val="TTPSectionHeading"/>
      </w:pPr>
      <w:r>
        <w:t>Introduction</w:t>
      </w:r>
    </w:p>
    <w:p w:rsidR="00C621B7" w:rsidRDefault="00C621B7" w:rsidP="00FA1C4C">
      <w:pPr>
        <w:ind w:firstLine="284"/>
        <w:jc w:val="both"/>
        <w:rPr>
          <w:spacing w:val="-2"/>
          <w:sz w:val="24"/>
          <w:szCs w:val="24"/>
          <w:lang w:val="en-US"/>
        </w:rPr>
      </w:pPr>
      <w:r w:rsidRPr="00C621B7">
        <w:rPr>
          <w:spacing w:val="-2"/>
          <w:sz w:val="24"/>
          <w:szCs w:val="24"/>
          <w:lang w:val="en-US"/>
        </w:rPr>
        <w:t xml:space="preserve">In the context of the digital transformation of the economy, the educational community faces great challenges, which </w:t>
      </w:r>
      <w:proofErr w:type="gramStart"/>
      <w:r w:rsidRPr="00C621B7">
        <w:rPr>
          <w:spacing w:val="-2"/>
          <w:sz w:val="24"/>
          <w:szCs w:val="24"/>
          <w:lang w:val="en-US"/>
        </w:rPr>
        <w:t>can be answered</w:t>
      </w:r>
      <w:proofErr w:type="gramEnd"/>
      <w:r w:rsidRPr="00C621B7">
        <w:rPr>
          <w:spacing w:val="-2"/>
          <w:sz w:val="24"/>
          <w:szCs w:val="24"/>
          <w:lang w:val="en-US"/>
        </w:rPr>
        <w:t xml:space="preserve"> only in the partnership of academic institutions and industrial partners [1</w:t>
      </w:r>
      <w:r>
        <w:rPr>
          <w:spacing w:val="-2"/>
          <w:sz w:val="24"/>
          <w:szCs w:val="24"/>
          <w:lang w:val="en-US"/>
        </w:rPr>
        <w:t xml:space="preserve">-4]. </w:t>
      </w:r>
      <w:r w:rsidRPr="00C621B7">
        <w:rPr>
          <w:spacing w:val="-2"/>
          <w:sz w:val="24"/>
          <w:szCs w:val="24"/>
          <w:lang w:val="en-US"/>
        </w:rPr>
        <w:t>Solving common problems related to the content and technology of training, developing effective organizational models of training in the paradigm Life</w:t>
      </w:r>
      <w:r w:rsidR="00312CDC">
        <w:rPr>
          <w:spacing w:val="-2"/>
          <w:sz w:val="24"/>
          <w:szCs w:val="24"/>
          <w:lang w:val="en-US"/>
        </w:rPr>
        <w:t xml:space="preserve"> </w:t>
      </w:r>
      <w:r w:rsidRPr="00C621B7">
        <w:rPr>
          <w:spacing w:val="-2"/>
          <w:sz w:val="24"/>
          <w:szCs w:val="24"/>
          <w:lang w:val="en-US"/>
        </w:rPr>
        <w:t>Long</w:t>
      </w:r>
      <w:r w:rsidR="00312CDC">
        <w:rPr>
          <w:spacing w:val="-2"/>
          <w:sz w:val="24"/>
          <w:szCs w:val="24"/>
          <w:lang w:val="en-US"/>
        </w:rPr>
        <w:t xml:space="preserve"> </w:t>
      </w:r>
      <w:r w:rsidRPr="00C621B7">
        <w:rPr>
          <w:spacing w:val="-2"/>
          <w:sz w:val="24"/>
          <w:szCs w:val="24"/>
          <w:lang w:val="en-US"/>
        </w:rPr>
        <w:t xml:space="preserve">Learning specific enterprises and universities gain a lot of interesting experience, which </w:t>
      </w:r>
      <w:proofErr w:type="gramStart"/>
      <w:r w:rsidRPr="00C621B7">
        <w:rPr>
          <w:spacing w:val="-2"/>
          <w:sz w:val="24"/>
          <w:szCs w:val="24"/>
          <w:lang w:val="en-US"/>
        </w:rPr>
        <w:t xml:space="preserve">is actively discussed and implemented in engineering practice </w:t>
      </w:r>
      <w:r>
        <w:rPr>
          <w:spacing w:val="-2"/>
          <w:sz w:val="24"/>
          <w:szCs w:val="24"/>
          <w:lang w:val="en-US"/>
        </w:rPr>
        <w:t>[5-8]</w:t>
      </w:r>
      <w:proofErr w:type="gramEnd"/>
      <w:r w:rsidRPr="00C621B7">
        <w:rPr>
          <w:spacing w:val="-2"/>
          <w:sz w:val="24"/>
          <w:szCs w:val="24"/>
          <w:lang w:val="en-US"/>
        </w:rPr>
        <w:t>.</w:t>
      </w:r>
    </w:p>
    <w:p w:rsidR="004604ED" w:rsidRDefault="004604ED" w:rsidP="00FA1C4C">
      <w:pPr>
        <w:ind w:firstLine="284"/>
        <w:jc w:val="both"/>
        <w:rPr>
          <w:spacing w:val="-2"/>
          <w:sz w:val="24"/>
          <w:szCs w:val="24"/>
          <w:lang w:val="en-US"/>
        </w:rPr>
      </w:pPr>
      <w:r w:rsidRPr="004604ED">
        <w:rPr>
          <w:spacing w:val="-2"/>
          <w:sz w:val="24"/>
          <w:szCs w:val="24"/>
          <w:lang w:val="en-US"/>
        </w:rPr>
        <w:t xml:space="preserve">The main directions of interaction between educational organizations, government and business </w:t>
      </w:r>
      <w:proofErr w:type="gramStart"/>
      <w:r w:rsidRPr="004604ED">
        <w:rPr>
          <w:spacing w:val="-2"/>
          <w:sz w:val="24"/>
          <w:szCs w:val="24"/>
          <w:lang w:val="en-US"/>
        </w:rPr>
        <w:t>are implemented</w:t>
      </w:r>
      <w:proofErr w:type="gramEnd"/>
      <w:r w:rsidRPr="004604ED">
        <w:rPr>
          <w:spacing w:val="-2"/>
          <w:sz w:val="24"/>
          <w:szCs w:val="24"/>
          <w:lang w:val="en-US"/>
        </w:rPr>
        <w:t xml:space="preserve"> in the framework of the creation of centers of continuous professional education (Fig. 1).</w:t>
      </w:r>
    </w:p>
    <w:p w:rsidR="004604ED" w:rsidRDefault="004604ED" w:rsidP="004604ED">
      <w:pPr>
        <w:ind w:firstLine="284"/>
        <w:jc w:val="center"/>
        <w:rPr>
          <w:spacing w:val="-2"/>
          <w:sz w:val="24"/>
          <w:szCs w:val="24"/>
          <w:lang w:val="en-US"/>
        </w:rPr>
      </w:pPr>
      <w:r w:rsidRPr="00C654B1">
        <w:rPr>
          <w:noProof/>
          <w:spacing w:val="-2"/>
          <w:sz w:val="24"/>
          <w:szCs w:val="24"/>
          <w:lang w:val="ru-RU" w:eastAsia="ru-RU"/>
        </w:rPr>
        <w:drawing>
          <wp:inline distT="0" distB="0" distL="0" distR="0" wp14:anchorId="105F5023" wp14:editId="339209D6">
            <wp:extent cx="3695700" cy="25238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13815" cy="2536265"/>
                    </a:xfrm>
                    <a:prstGeom prst="rect">
                      <a:avLst/>
                    </a:prstGeom>
                  </pic:spPr>
                </pic:pic>
              </a:graphicData>
            </a:graphic>
          </wp:inline>
        </w:drawing>
      </w:r>
    </w:p>
    <w:p w:rsidR="004604ED" w:rsidRDefault="004604ED" w:rsidP="004604ED">
      <w:pPr>
        <w:jc w:val="center"/>
        <w:rPr>
          <w:spacing w:val="-2"/>
          <w:sz w:val="24"/>
          <w:szCs w:val="24"/>
          <w:lang w:val="en-US"/>
        </w:rPr>
      </w:pPr>
      <w:r w:rsidRPr="004604ED">
        <w:rPr>
          <w:spacing w:val="-2"/>
          <w:sz w:val="24"/>
          <w:szCs w:val="24"/>
          <w:lang w:val="en-US"/>
        </w:rPr>
        <w:t xml:space="preserve">Fig. 1. </w:t>
      </w:r>
      <w:r w:rsidR="00BB4F16">
        <w:rPr>
          <w:spacing w:val="-2"/>
          <w:sz w:val="24"/>
          <w:szCs w:val="24"/>
          <w:lang w:val="en-US"/>
        </w:rPr>
        <w:t>Model of professional continuing education</w:t>
      </w:r>
      <w:r w:rsidR="00BB4F16" w:rsidRPr="00BB4F16">
        <w:t xml:space="preserve"> </w:t>
      </w:r>
      <w:r w:rsidR="00BB4F16" w:rsidRPr="00BB4F16">
        <w:rPr>
          <w:spacing w:val="-2"/>
          <w:sz w:val="24"/>
          <w:szCs w:val="24"/>
          <w:lang w:val="en-US"/>
        </w:rPr>
        <w:t>center</w:t>
      </w:r>
      <w:r w:rsidR="00CB268C">
        <w:rPr>
          <w:spacing w:val="-2"/>
          <w:sz w:val="24"/>
          <w:szCs w:val="24"/>
          <w:lang w:val="en-US"/>
        </w:rPr>
        <w:t>.</w:t>
      </w:r>
    </w:p>
    <w:p w:rsidR="004604ED" w:rsidRDefault="004604ED" w:rsidP="004604ED">
      <w:pPr>
        <w:jc w:val="center"/>
        <w:rPr>
          <w:spacing w:val="-2"/>
          <w:sz w:val="24"/>
          <w:szCs w:val="24"/>
          <w:lang w:val="en-US"/>
        </w:rPr>
      </w:pPr>
    </w:p>
    <w:p w:rsidR="004604ED" w:rsidRDefault="004604ED" w:rsidP="004604ED">
      <w:pPr>
        <w:ind w:firstLine="284"/>
        <w:jc w:val="both"/>
        <w:rPr>
          <w:spacing w:val="-2"/>
          <w:sz w:val="24"/>
          <w:szCs w:val="24"/>
          <w:lang w:val="en-US"/>
        </w:rPr>
      </w:pPr>
      <w:r w:rsidRPr="004604ED">
        <w:rPr>
          <w:spacing w:val="-2"/>
          <w:sz w:val="24"/>
          <w:szCs w:val="24"/>
          <w:lang w:val="en-US"/>
        </w:rPr>
        <w:t xml:space="preserve">The center of continuing professional education </w:t>
      </w:r>
      <w:proofErr w:type="gramStart"/>
      <w:r w:rsidRPr="004604ED">
        <w:rPr>
          <w:spacing w:val="-2"/>
          <w:sz w:val="24"/>
          <w:szCs w:val="24"/>
          <w:lang w:val="en-US"/>
        </w:rPr>
        <w:t>is created</w:t>
      </w:r>
      <w:proofErr w:type="gramEnd"/>
      <w:r w:rsidRPr="004604ED">
        <w:rPr>
          <w:spacing w:val="-2"/>
          <w:sz w:val="24"/>
          <w:szCs w:val="24"/>
          <w:lang w:val="en-US"/>
        </w:rPr>
        <w:t xml:space="preserve"> by building contractual relations between educational organizations of various levels, training centers or corporate universities in order to train personnel for a large industrial enterprise or a group of enterprises with the participation of the state authorities.</w:t>
      </w:r>
    </w:p>
    <w:p w:rsidR="00C654B1" w:rsidRDefault="00F2242C" w:rsidP="004604ED">
      <w:pPr>
        <w:ind w:firstLine="284"/>
        <w:jc w:val="both"/>
        <w:rPr>
          <w:spacing w:val="-2"/>
          <w:sz w:val="24"/>
          <w:szCs w:val="24"/>
          <w:lang w:val="en-US"/>
        </w:rPr>
      </w:pPr>
      <w:r w:rsidRPr="00F2242C">
        <w:rPr>
          <w:spacing w:val="-2"/>
          <w:sz w:val="24"/>
          <w:szCs w:val="24"/>
          <w:lang w:val="en-US"/>
        </w:rPr>
        <w:lastRenderedPageBreak/>
        <w:t>The transition of Russian higher education to a level system of training has caused the problem of adequate replacement of graduates of the specialty in most educational areas in the field of engineering, technology and technical Sciences. Attempts to bring the training of bachelors to the level of the former specialty without significant changes in the entire educational process are not successful. The development of engineering master's programs has not yet received a wide and meaningful distribution. In most cases, a</w:t>
      </w:r>
      <w:r w:rsidR="00C654B1">
        <w:rPr>
          <w:spacing w:val="-2"/>
          <w:sz w:val="24"/>
          <w:szCs w:val="24"/>
          <w:lang w:val="en-US"/>
        </w:rPr>
        <w:t>cademic-type program</w:t>
      </w:r>
      <w:r w:rsidRPr="00F2242C">
        <w:rPr>
          <w:spacing w:val="-2"/>
          <w:sz w:val="24"/>
          <w:szCs w:val="24"/>
          <w:lang w:val="en-US"/>
        </w:rPr>
        <w:t xml:space="preserve">s of a research nature </w:t>
      </w:r>
      <w:proofErr w:type="gramStart"/>
      <w:r w:rsidRPr="00F2242C">
        <w:rPr>
          <w:spacing w:val="-2"/>
          <w:sz w:val="24"/>
          <w:szCs w:val="24"/>
          <w:lang w:val="en-US"/>
        </w:rPr>
        <w:t>are implemented</w:t>
      </w:r>
      <w:proofErr w:type="gramEnd"/>
      <w:r w:rsidRPr="00F2242C">
        <w:rPr>
          <w:spacing w:val="-2"/>
          <w:sz w:val="24"/>
          <w:szCs w:val="24"/>
          <w:lang w:val="en-US"/>
        </w:rPr>
        <w:t xml:space="preserve"> at the master's level. It is necessary to pay attention to the fact that in contrast to the specialty undergraduates already have higher education and, as a rule, work, and not necessarily in the profession. This circumstance affects the motivation for learni</w:t>
      </w:r>
      <w:r>
        <w:rPr>
          <w:spacing w:val="-2"/>
          <w:sz w:val="24"/>
          <w:szCs w:val="24"/>
          <w:lang w:val="en-US"/>
        </w:rPr>
        <w:t>ng and, accordingly, its result</w:t>
      </w:r>
      <w:r w:rsidR="008F7CB8">
        <w:rPr>
          <w:spacing w:val="-2"/>
          <w:sz w:val="24"/>
          <w:szCs w:val="24"/>
          <w:lang w:val="en-US"/>
        </w:rPr>
        <w:t>.</w:t>
      </w:r>
    </w:p>
    <w:p w:rsidR="00F2242C" w:rsidRDefault="00F2242C" w:rsidP="00FA1C4C">
      <w:pPr>
        <w:ind w:firstLine="284"/>
        <w:jc w:val="both"/>
        <w:rPr>
          <w:spacing w:val="-2"/>
          <w:sz w:val="24"/>
          <w:szCs w:val="24"/>
          <w:lang w:val="en-US"/>
        </w:rPr>
      </w:pPr>
      <w:r w:rsidRPr="00F2242C">
        <w:rPr>
          <w:spacing w:val="-2"/>
          <w:sz w:val="24"/>
          <w:szCs w:val="24"/>
          <w:lang w:val="en-US"/>
        </w:rPr>
        <w:t xml:space="preserve">In General, the situation is a fair criticism on the part of employers in terms of the quality of training of graduates. This fully applies to the metallurgical industry, in the interests of which a significant number of budget places </w:t>
      </w:r>
      <w:proofErr w:type="gramStart"/>
      <w:r w:rsidRPr="00F2242C">
        <w:rPr>
          <w:spacing w:val="-2"/>
          <w:sz w:val="24"/>
          <w:szCs w:val="24"/>
          <w:lang w:val="en-US"/>
        </w:rPr>
        <w:t>are allocated</w:t>
      </w:r>
      <w:proofErr w:type="gramEnd"/>
      <w:r w:rsidRPr="00F2242C">
        <w:rPr>
          <w:spacing w:val="-2"/>
          <w:sz w:val="24"/>
          <w:szCs w:val="24"/>
          <w:lang w:val="en-US"/>
        </w:rPr>
        <w:t xml:space="preserve"> for training in bachelor's and master's degrees, but the quality output is extremely small.</w:t>
      </w:r>
    </w:p>
    <w:p w:rsidR="00FA1C4C" w:rsidRDefault="00FA1C4C" w:rsidP="00FA1C4C">
      <w:pPr>
        <w:spacing w:before="360" w:after="120"/>
        <w:rPr>
          <w:b/>
          <w:spacing w:val="-2"/>
          <w:sz w:val="24"/>
          <w:szCs w:val="24"/>
          <w:lang w:val="en-US"/>
        </w:rPr>
      </w:pPr>
      <w:r>
        <w:rPr>
          <w:b/>
          <w:spacing w:val="-2"/>
          <w:sz w:val="24"/>
          <w:szCs w:val="24"/>
          <w:lang w:val="en-US"/>
        </w:rPr>
        <w:t>Results and discussions</w:t>
      </w:r>
    </w:p>
    <w:p w:rsidR="004604ED" w:rsidRDefault="00F2242C" w:rsidP="004604ED">
      <w:pPr>
        <w:ind w:firstLine="284"/>
        <w:jc w:val="both"/>
        <w:rPr>
          <w:spacing w:val="-2"/>
          <w:sz w:val="24"/>
          <w:szCs w:val="24"/>
          <w:lang w:val="en-US"/>
        </w:rPr>
      </w:pPr>
      <w:r>
        <w:rPr>
          <w:spacing w:val="-2"/>
          <w:sz w:val="24"/>
          <w:szCs w:val="24"/>
          <w:lang w:val="en-US"/>
        </w:rPr>
        <w:t>The problem statement is to d</w:t>
      </w:r>
      <w:r w:rsidRPr="00F2242C">
        <w:rPr>
          <w:spacing w:val="-2"/>
          <w:sz w:val="24"/>
          <w:szCs w:val="24"/>
          <w:lang w:val="en-US"/>
        </w:rPr>
        <w:t>evelop and implement educational programs of elite training for the metallurgical industry.</w:t>
      </w:r>
      <w:r>
        <w:rPr>
          <w:spacing w:val="-2"/>
          <w:sz w:val="24"/>
          <w:szCs w:val="24"/>
          <w:lang w:val="en-US"/>
        </w:rPr>
        <w:t xml:space="preserve"> </w:t>
      </w:r>
      <w:r w:rsidRPr="00F2242C">
        <w:rPr>
          <w:spacing w:val="-2"/>
          <w:sz w:val="24"/>
          <w:szCs w:val="24"/>
          <w:lang w:val="en-US"/>
        </w:rPr>
        <w:t>Elite training involves the production of a limited number of motivated and in-demand specialists in the fie</w:t>
      </w:r>
      <w:r>
        <w:rPr>
          <w:spacing w:val="-2"/>
          <w:sz w:val="24"/>
          <w:szCs w:val="24"/>
          <w:lang w:val="en-US"/>
        </w:rPr>
        <w:t>ld of metallurgical production.</w:t>
      </w:r>
    </w:p>
    <w:p w:rsidR="00F2242C" w:rsidRDefault="00F2242C" w:rsidP="00F2242C">
      <w:pPr>
        <w:ind w:firstLine="284"/>
        <w:jc w:val="both"/>
        <w:rPr>
          <w:spacing w:val="-2"/>
          <w:sz w:val="24"/>
          <w:szCs w:val="24"/>
          <w:lang w:val="en-US"/>
        </w:rPr>
      </w:pPr>
      <w:r w:rsidRPr="00F2242C">
        <w:rPr>
          <w:spacing w:val="-2"/>
          <w:sz w:val="24"/>
          <w:szCs w:val="24"/>
          <w:lang w:val="en-US"/>
        </w:rPr>
        <w:t xml:space="preserve">To solve the problem of equivalent replacement of the best graduates of the specialty, it </w:t>
      </w:r>
      <w:proofErr w:type="gramStart"/>
      <w:r w:rsidRPr="00F2242C">
        <w:rPr>
          <w:spacing w:val="-2"/>
          <w:sz w:val="24"/>
          <w:szCs w:val="24"/>
          <w:lang w:val="en-US"/>
        </w:rPr>
        <w:t>is proposed</w:t>
      </w:r>
      <w:proofErr w:type="gramEnd"/>
      <w:r w:rsidRPr="00F2242C">
        <w:rPr>
          <w:spacing w:val="-2"/>
          <w:sz w:val="24"/>
          <w:szCs w:val="24"/>
          <w:lang w:val="en-US"/>
        </w:rPr>
        <w:t xml:space="preserve"> </w:t>
      </w:r>
      <w:r>
        <w:rPr>
          <w:spacing w:val="-2"/>
          <w:sz w:val="24"/>
          <w:szCs w:val="24"/>
          <w:lang w:val="en-US"/>
        </w:rPr>
        <w:t>a development</w:t>
      </w:r>
      <w:r w:rsidRPr="00F2242C">
        <w:rPr>
          <w:spacing w:val="-2"/>
          <w:sz w:val="24"/>
          <w:szCs w:val="24"/>
          <w:lang w:val="en-US"/>
        </w:rPr>
        <w:t xml:space="preserve"> and implement</w:t>
      </w:r>
      <w:r>
        <w:rPr>
          <w:spacing w:val="-2"/>
          <w:sz w:val="24"/>
          <w:szCs w:val="24"/>
          <w:lang w:val="en-US"/>
        </w:rPr>
        <w:t>ation of</w:t>
      </w:r>
      <w:r w:rsidRPr="00F2242C">
        <w:rPr>
          <w:spacing w:val="-2"/>
          <w:sz w:val="24"/>
          <w:szCs w:val="24"/>
          <w:lang w:val="en-US"/>
        </w:rPr>
        <w:t xml:space="preserve"> an integrated network program "applied bachelor's degree – engineering master's degree". The program involves the restructuring of the training system for the 3rd and 4th year of bachelor's degree and the creation of new engineering master's programs. The restructuring of undergraduate progr</w:t>
      </w:r>
      <w:r>
        <w:rPr>
          <w:spacing w:val="-2"/>
          <w:sz w:val="24"/>
          <w:szCs w:val="24"/>
          <w:lang w:val="en-US"/>
        </w:rPr>
        <w:t>ams can be of different nature: f</w:t>
      </w:r>
      <w:r w:rsidRPr="00F2242C">
        <w:rPr>
          <w:spacing w:val="-2"/>
          <w:sz w:val="24"/>
          <w:szCs w:val="24"/>
          <w:lang w:val="en-US"/>
        </w:rPr>
        <w:t>rom a significant intensification of the educational process in order to prepare a graduate, comparable in competence with a graduate of the specialty, to a less profiled, combining the breadth and depth of training in the bachelor's degree with fine-tuning to the requirements of production in the engineering master's degree.</w:t>
      </w:r>
    </w:p>
    <w:p w:rsidR="00F2242C" w:rsidRDefault="00F2242C" w:rsidP="00F2242C">
      <w:pPr>
        <w:ind w:firstLine="284"/>
        <w:jc w:val="both"/>
        <w:rPr>
          <w:spacing w:val="-2"/>
          <w:sz w:val="24"/>
          <w:szCs w:val="24"/>
          <w:lang w:val="en-US"/>
        </w:rPr>
      </w:pPr>
      <w:r w:rsidRPr="00F2242C">
        <w:rPr>
          <w:spacing w:val="-2"/>
          <w:sz w:val="24"/>
          <w:szCs w:val="24"/>
          <w:lang w:val="en-US"/>
        </w:rPr>
        <w:t xml:space="preserve">The programs will be created on a single methodological basis, including the formulation of learning outcomes, the choice of modern active educational technologies (project learning, e-learning environment, etc.), </w:t>
      </w:r>
      <w:proofErr w:type="gramStart"/>
      <w:r w:rsidRPr="00F2242C">
        <w:rPr>
          <w:spacing w:val="-2"/>
          <w:sz w:val="24"/>
          <w:szCs w:val="24"/>
          <w:lang w:val="en-US"/>
        </w:rPr>
        <w:t>an</w:t>
      </w:r>
      <w:proofErr w:type="gramEnd"/>
      <w:r w:rsidRPr="00F2242C">
        <w:rPr>
          <w:spacing w:val="-2"/>
          <w:sz w:val="24"/>
          <w:szCs w:val="24"/>
          <w:lang w:val="en-US"/>
        </w:rPr>
        <w:t xml:space="preserve"> independent assessment of the achievement of the stated results. At all stages of the creation and implementation of programs, a significant role </w:t>
      </w:r>
      <w:proofErr w:type="gramStart"/>
      <w:r w:rsidRPr="00F2242C">
        <w:rPr>
          <w:spacing w:val="-2"/>
          <w:sz w:val="24"/>
          <w:szCs w:val="24"/>
          <w:lang w:val="en-US"/>
        </w:rPr>
        <w:t>is assigned</w:t>
      </w:r>
      <w:proofErr w:type="gramEnd"/>
      <w:r w:rsidRPr="00F2242C">
        <w:rPr>
          <w:spacing w:val="-2"/>
          <w:sz w:val="24"/>
          <w:szCs w:val="24"/>
          <w:lang w:val="en-US"/>
        </w:rPr>
        <w:t xml:space="preserve"> to the interested participation of spec</w:t>
      </w:r>
      <w:r>
        <w:rPr>
          <w:spacing w:val="-2"/>
          <w:sz w:val="24"/>
          <w:szCs w:val="24"/>
          <w:lang w:val="en-US"/>
        </w:rPr>
        <w:t>ialists of industrial partners.</w:t>
      </w:r>
    </w:p>
    <w:p w:rsidR="00F2242C" w:rsidRDefault="00F2242C" w:rsidP="00F2242C">
      <w:pPr>
        <w:ind w:firstLine="284"/>
        <w:jc w:val="both"/>
        <w:rPr>
          <w:spacing w:val="-2"/>
          <w:sz w:val="24"/>
          <w:szCs w:val="24"/>
          <w:lang w:val="en-US"/>
        </w:rPr>
      </w:pPr>
      <w:r w:rsidRPr="00F2242C">
        <w:rPr>
          <w:spacing w:val="-2"/>
          <w:sz w:val="24"/>
          <w:szCs w:val="24"/>
          <w:lang w:val="en-US"/>
        </w:rPr>
        <w:t xml:space="preserve">As an option, the selection for training in elite programs </w:t>
      </w:r>
      <w:proofErr w:type="gramStart"/>
      <w:r w:rsidRPr="00F2242C">
        <w:rPr>
          <w:spacing w:val="-2"/>
          <w:sz w:val="24"/>
          <w:szCs w:val="24"/>
          <w:lang w:val="en-US"/>
        </w:rPr>
        <w:t>can be held</w:t>
      </w:r>
      <w:proofErr w:type="gramEnd"/>
      <w:r w:rsidRPr="00F2242C">
        <w:rPr>
          <w:spacing w:val="-2"/>
          <w:sz w:val="24"/>
          <w:szCs w:val="24"/>
          <w:lang w:val="en-US"/>
        </w:rPr>
        <w:t xml:space="preserve"> among students who have completed two years of study in the bachelor's degree. Selection criteria-successful development of the fundamental part of the educational program and moti</w:t>
      </w:r>
      <w:r>
        <w:rPr>
          <w:spacing w:val="-2"/>
          <w:sz w:val="24"/>
          <w:szCs w:val="24"/>
          <w:lang w:val="en-US"/>
        </w:rPr>
        <w:t>vation to work in the industry.</w:t>
      </w:r>
    </w:p>
    <w:p w:rsidR="00F55E79" w:rsidRDefault="00F2242C" w:rsidP="00F55E79">
      <w:pPr>
        <w:ind w:firstLine="284"/>
        <w:jc w:val="both"/>
        <w:rPr>
          <w:spacing w:val="-2"/>
          <w:sz w:val="24"/>
          <w:szCs w:val="24"/>
          <w:lang w:val="en-US"/>
        </w:rPr>
      </w:pPr>
      <w:r w:rsidRPr="00F2242C">
        <w:rPr>
          <w:spacing w:val="-2"/>
          <w:sz w:val="24"/>
          <w:szCs w:val="24"/>
          <w:lang w:val="en-US"/>
        </w:rPr>
        <w:t xml:space="preserve">A number of leading universities of the country with the necessary base and competence in training in the field of metallurgy and having effective partnerships with large metallurgical enterprises will participate in the development and implementation of elite programs. To work on the programs, a creative team </w:t>
      </w:r>
      <w:proofErr w:type="gramStart"/>
      <w:r w:rsidRPr="00F2242C">
        <w:rPr>
          <w:spacing w:val="-2"/>
          <w:sz w:val="24"/>
          <w:szCs w:val="24"/>
          <w:lang w:val="en-US"/>
        </w:rPr>
        <w:t xml:space="preserve">will be </w:t>
      </w:r>
      <w:r>
        <w:rPr>
          <w:spacing w:val="-2"/>
          <w:sz w:val="24"/>
          <w:szCs w:val="24"/>
          <w:lang w:val="en-US"/>
        </w:rPr>
        <w:t>made</w:t>
      </w:r>
      <w:proofErr w:type="gramEnd"/>
      <w:r w:rsidRPr="00F2242C">
        <w:rPr>
          <w:spacing w:val="-2"/>
          <w:sz w:val="24"/>
          <w:szCs w:val="24"/>
          <w:lang w:val="en-US"/>
        </w:rPr>
        <w:t>, including the best teachers of the University and specialists of indus</w:t>
      </w:r>
      <w:r w:rsidR="00F55E79">
        <w:rPr>
          <w:spacing w:val="-2"/>
          <w:sz w:val="24"/>
          <w:szCs w:val="24"/>
          <w:lang w:val="en-US"/>
        </w:rPr>
        <w:t>trial enterprises.</w:t>
      </w:r>
    </w:p>
    <w:p w:rsidR="00F55E79" w:rsidRDefault="00F2242C" w:rsidP="00F55E79">
      <w:pPr>
        <w:ind w:firstLine="284"/>
        <w:jc w:val="both"/>
        <w:rPr>
          <w:spacing w:val="-2"/>
          <w:sz w:val="24"/>
          <w:szCs w:val="24"/>
          <w:lang w:val="en-US"/>
        </w:rPr>
      </w:pPr>
      <w:r w:rsidRPr="00F2242C">
        <w:rPr>
          <w:spacing w:val="-2"/>
          <w:sz w:val="24"/>
          <w:szCs w:val="24"/>
          <w:lang w:val="en-US"/>
        </w:rPr>
        <w:t xml:space="preserve">Each of the project participants develops and implements a certain set of agreed program modules. The network form of implementation of such programs involves the mobility of both students who master certain parts of the programs and the necessary practice in various universities and enterprises, and teachers who can teach </w:t>
      </w:r>
      <w:r w:rsidR="00F55E79">
        <w:rPr>
          <w:spacing w:val="-2"/>
          <w:sz w:val="24"/>
          <w:szCs w:val="24"/>
          <w:lang w:val="en-US"/>
        </w:rPr>
        <w:t xml:space="preserve">students at other universities. </w:t>
      </w:r>
      <w:r w:rsidRPr="00F2242C">
        <w:rPr>
          <w:spacing w:val="-2"/>
          <w:sz w:val="24"/>
          <w:szCs w:val="24"/>
          <w:lang w:val="en-US"/>
        </w:rPr>
        <w:t>At the first stage of the project implementation, the recruitment for the elite undergraduate program (budget places) at each University can be from 10 to 15 people. The total number of students at the three partner univer</w:t>
      </w:r>
      <w:r w:rsidR="00F55E79">
        <w:rPr>
          <w:spacing w:val="-2"/>
          <w:sz w:val="24"/>
          <w:szCs w:val="24"/>
          <w:lang w:val="en-US"/>
        </w:rPr>
        <w:t xml:space="preserve">sities is from 30 to 45 people. </w:t>
      </w:r>
      <w:r w:rsidRPr="00F2242C">
        <w:rPr>
          <w:spacing w:val="-2"/>
          <w:sz w:val="24"/>
          <w:szCs w:val="24"/>
          <w:lang w:val="en-US"/>
        </w:rPr>
        <w:t>Admission to the integrated master's program also involves competitive selection with the release of the first</w:t>
      </w:r>
      <w:r w:rsidR="00F55E79">
        <w:rPr>
          <w:spacing w:val="-2"/>
          <w:sz w:val="24"/>
          <w:szCs w:val="24"/>
          <w:lang w:val="en-US"/>
        </w:rPr>
        <w:t xml:space="preserve"> 15-30 metallurgical engineers. </w:t>
      </w:r>
      <w:r w:rsidRPr="00F2242C">
        <w:rPr>
          <w:spacing w:val="-2"/>
          <w:sz w:val="24"/>
          <w:szCs w:val="24"/>
          <w:lang w:val="en-US"/>
        </w:rPr>
        <w:t xml:space="preserve">The scale of the project in the future </w:t>
      </w:r>
      <w:proofErr w:type="gramStart"/>
      <w:r w:rsidRPr="00F2242C">
        <w:rPr>
          <w:spacing w:val="-2"/>
          <w:sz w:val="24"/>
          <w:szCs w:val="24"/>
          <w:lang w:val="en-US"/>
        </w:rPr>
        <w:t>can be increased</w:t>
      </w:r>
      <w:proofErr w:type="gramEnd"/>
      <w:r w:rsidRPr="00F2242C">
        <w:rPr>
          <w:spacing w:val="-2"/>
          <w:sz w:val="24"/>
          <w:szCs w:val="24"/>
          <w:lang w:val="en-US"/>
        </w:rPr>
        <w:t xml:space="preserve"> to the size of the needs of industrial partners in the graduat</w:t>
      </w:r>
      <w:r w:rsidR="00F55E79">
        <w:rPr>
          <w:spacing w:val="-2"/>
          <w:sz w:val="24"/>
          <w:szCs w:val="24"/>
          <w:lang w:val="en-US"/>
        </w:rPr>
        <w:t xml:space="preserve">es of elite programs. </w:t>
      </w:r>
      <w:r w:rsidRPr="00F2242C">
        <w:rPr>
          <w:spacing w:val="-2"/>
          <w:sz w:val="24"/>
          <w:szCs w:val="24"/>
          <w:lang w:val="en-US"/>
        </w:rPr>
        <w:t xml:space="preserve">In the process of training, industrial enterprises can conclude contracts with students on targeted training, which will make certainty in the </w:t>
      </w:r>
      <w:r w:rsidR="00F55E79">
        <w:rPr>
          <w:spacing w:val="-2"/>
          <w:sz w:val="24"/>
          <w:szCs w:val="24"/>
          <w:lang w:val="en-US"/>
        </w:rPr>
        <w:t xml:space="preserve">future career path of students. </w:t>
      </w:r>
      <w:r w:rsidRPr="00F2242C">
        <w:rPr>
          <w:spacing w:val="-2"/>
          <w:sz w:val="24"/>
          <w:szCs w:val="24"/>
          <w:lang w:val="en-US"/>
        </w:rPr>
        <w:lastRenderedPageBreak/>
        <w:t>Graduates of the programs will receive in addition to the diploma of their University a joint diploma of universities and enterpris</w:t>
      </w:r>
      <w:r w:rsidR="00F55E79">
        <w:rPr>
          <w:spacing w:val="-2"/>
          <w:sz w:val="24"/>
          <w:szCs w:val="24"/>
          <w:lang w:val="en-US"/>
        </w:rPr>
        <w:t>es of the project participants.</w:t>
      </w:r>
    </w:p>
    <w:p w:rsidR="00EF0E9E" w:rsidRDefault="00F2242C" w:rsidP="00DA6A91">
      <w:pPr>
        <w:ind w:firstLine="284"/>
        <w:jc w:val="both"/>
        <w:rPr>
          <w:spacing w:val="-2"/>
          <w:sz w:val="24"/>
          <w:szCs w:val="24"/>
          <w:lang w:val="en-US"/>
        </w:rPr>
      </w:pPr>
      <w:r w:rsidRPr="00F2242C">
        <w:rPr>
          <w:spacing w:val="-2"/>
          <w:sz w:val="24"/>
          <w:szCs w:val="24"/>
          <w:lang w:val="en-US"/>
        </w:rPr>
        <w:t>In the context of the digital economy, there are new challenges for universities and partner enterprises to develop human resources that can ensure the competitiveness of enterprises. Combining efforts and resources for the training of engineers is becoming a common practice, while the relevance of the development of new approaches to the formation of the content of training for the long-term development of indus</w:t>
      </w:r>
      <w:r w:rsidR="00F55E79">
        <w:rPr>
          <w:spacing w:val="-2"/>
          <w:sz w:val="24"/>
          <w:szCs w:val="24"/>
          <w:lang w:val="en-US"/>
        </w:rPr>
        <w:t>tries comes to the first place.</w:t>
      </w:r>
    </w:p>
    <w:p w:rsidR="00BB4F16" w:rsidRDefault="00F2242C" w:rsidP="00BB4F16">
      <w:pPr>
        <w:ind w:firstLine="284"/>
        <w:jc w:val="both"/>
        <w:rPr>
          <w:spacing w:val="-2"/>
          <w:sz w:val="24"/>
          <w:szCs w:val="24"/>
          <w:lang w:val="en-US"/>
        </w:rPr>
      </w:pPr>
      <w:r w:rsidRPr="00F2242C">
        <w:rPr>
          <w:spacing w:val="-2"/>
          <w:sz w:val="24"/>
          <w:szCs w:val="24"/>
          <w:lang w:val="en-US"/>
        </w:rPr>
        <w:t xml:space="preserve">The distinctive features of the model that ensure the effectiveness of achieving learning outcomes and the required quality of training are, first of all, network forms that allow attracting the best resources of educational centers for the implementation of training and ensuring the mobility of students. The optimal balance of classical forms of training and various modern trainings </w:t>
      </w:r>
      <w:proofErr w:type="gramStart"/>
      <w:r w:rsidRPr="00F2242C">
        <w:rPr>
          <w:spacing w:val="-2"/>
          <w:sz w:val="24"/>
          <w:szCs w:val="24"/>
          <w:lang w:val="en-US"/>
        </w:rPr>
        <w:t>is aimed</w:t>
      </w:r>
      <w:proofErr w:type="gramEnd"/>
      <w:r w:rsidRPr="00F2242C">
        <w:rPr>
          <w:spacing w:val="-2"/>
          <w:sz w:val="24"/>
          <w:szCs w:val="24"/>
          <w:lang w:val="en-US"/>
        </w:rPr>
        <w:t xml:space="preserve"> at the formation of not only the basic professional competencies, but also personal and interpersonal qualities, such as the ability to solve problems, to work effectively in a team, to think creatively. The modular principle of educational programs provides adaptability to changing industrial technologies and makes it possible to form individu</w:t>
      </w:r>
      <w:r w:rsidR="00F55E79">
        <w:rPr>
          <w:spacing w:val="-2"/>
          <w:sz w:val="24"/>
          <w:szCs w:val="24"/>
          <w:lang w:val="en-US"/>
        </w:rPr>
        <w:t>al educational trajectories.</w:t>
      </w:r>
    </w:p>
    <w:p w:rsidR="00BB4F16" w:rsidRDefault="00BB4F16" w:rsidP="00BB4F16">
      <w:pPr>
        <w:ind w:firstLine="284"/>
        <w:jc w:val="both"/>
        <w:rPr>
          <w:spacing w:val="-2"/>
          <w:sz w:val="24"/>
          <w:szCs w:val="24"/>
          <w:lang w:val="en-US"/>
        </w:rPr>
      </w:pPr>
      <w:r w:rsidRPr="00BB4F16">
        <w:rPr>
          <w:spacing w:val="-2"/>
          <w:sz w:val="24"/>
          <w:szCs w:val="24"/>
          <w:lang w:val="en-US"/>
        </w:rPr>
        <w:t xml:space="preserve">Described above approaches to the design </w:t>
      </w:r>
      <w:r>
        <w:rPr>
          <w:spacing w:val="-2"/>
          <w:sz w:val="24"/>
          <w:szCs w:val="24"/>
          <w:lang w:val="en-US"/>
        </w:rPr>
        <w:t>of “</w:t>
      </w:r>
      <w:r w:rsidRPr="00BB4F16">
        <w:rPr>
          <w:spacing w:val="-2"/>
          <w:sz w:val="24"/>
          <w:szCs w:val="24"/>
          <w:lang w:val="en-US"/>
        </w:rPr>
        <w:t xml:space="preserve">engineering </w:t>
      </w:r>
      <w:r>
        <w:rPr>
          <w:spacing w:val="-2"/>
          <w:sz w:val="24"/>
          <w:szCs w:val="24"/>
          <w:lang w:val="en-US"/>
        </w:rPr>
        <w:t xml:space="preserve">forces” </w:t>
      </w:r>
      <w:r w:rsidRPr="00BB4F16">
        <w:rPr>
          <w:spacing w:val="-2"/>
          <w:sz w:val="24"/>
          <w:szCs w:val="24"/>
          <w:lang w:val="en-US"/>
        </w:rPr>
        <w:t>programs</w:t>
      </w:r>
      <w:r>
        <w:rPr>
          <w:spacing w:val="-2"/>
          <w:sz w:val="24"/>
          <w:szCs w:val="24"/>
          <w:lang w:val="en-US"/>
        </w:rPr>
        <w:t xml:space="preserve"> </w:t>
      </w:r>
      <w:r w:rsidR="00DA6A91">
        <w:rPr>
          <w:spacing w:val="-2"/>
          <w:sz w:val="24"/>
          <w:szCs w:val="24"/>
          <w:lang w:val="en-US"/>
        </w:rPr>
        <w:t>were</w:t>
      </w:r>
      <w:r>
        <w:rPr>
          <w:spacing w:val="-2"/>
          <w:sz w:val="24"/>
          <w:szCs w:val="24"/>
          <w:lang w:val="en-US"/>
        </w:rPr>
        <w:t xml:space="preserve"> </w:t>
      </w:r>
      <w:r w:rsidR="00DA6A91">
        <w:rPr>
          <w:spacing w:val="-2"/>
          <w:sz w:val="24"/>
          <w:szCs w:val="24"/>
          <w:lang w:val="en-US"/>
        </w:rPr>
        <w:t>refined during</w:t>
      </w:r>
      <w:r>
        <w:rPr>
          <w:spacing w:val="-2"/>
          <w:sz w:val="24"/>
          <w:szCs w:val="24"/>
          <w:lang w:val="en-US"/>
        </w:rPr>
        <w:t xml:space="preserve"> </w:t>
      </w:r>
      <w:r w:rsidRPr="00BB4F16">
        <w:rPr>
          <w:spacing w:val="-2"/>
          <w:sz w:val="24"/>
          <w:szCs w:val="24"/>
          <w:lang w:val="en-US"/>
        </w:rPr>
        <w:t>the approbation process to the leve</w:t>
      </w:r>
      <w:r>
        <w:rPr>
          <w:spacing w:val="-2"/>
          <w:sz w:val="24"/>
          <w:szCs w:val="24"/>
          <w:lang w:val="en-US"/>
        </w:rPr>
        <w:t>l of functional model</w:t>
      </w:r>
      <w:r w:rsidR="00DA6A91">
        <w:rPr>
          <w:spacing w:val="-2"/>
          <w:sz w:val="24"/>
          <w:szCs w:val="24"/>
          <w:lang w:val="en-US"/>
        </w:rPr>
        <w:t xml:space="preserve"> (fig. 2)</w:t>
      </w:r>
      <w:r>
        <w:rPr>
          <w:spacing w:val="-2"/>
          <w:sz w:val="24"/>
          <w:szCs w:val="24"/>
          <w:lang w:val="en-US"/>
        </w:rPr>
        <w:t xml:space="preserve"> and model </w:t>
      </w:r>
      <w:r w:rsidR="00DA6A91">
        <w:rPr>
          <w:spacing w:val="-2"/>
          <w:sz w:val="24"/>
          <w:szCs w:val="24"/>
          <w:lang w:val="en-US"/>
        </w:rPr>
        <w:t xml:space="preserve">of </w:t>
      </w:r>
      <w:r>
        <w:rPr>
          <w:spacing w:val="-2"/>
          <w:sz w:val="24"/>
          <w:szCs w:val="24"/>
          <w:lang w:val="en-US"/>
        </w:rPr>
        <w:t>quality assurance</w:t>
      </w:r>
      <w:r w:rsidR="00DA6A91">
        <w:rPr>
          <w:spacing w:val="-2"/>
          <w:sz w:val="24"/>
          <w:szCs w:val="24"/>
          <w:lang w:val="en-US"/>
        </w:rPr>
        <w:t xml:space="preserve"> (fig. 3)</w:t>
      </w:r>
      <w:r>
        <w:rPr>
          <w:spacing w:val="-2"/>
          <w:sz w:val="24"/>
          <w:szCs w:val="24"/>
          <w:lang w:val="en-US"/>
        </w:rPr>
        <w:t xml:space="preserve">. </w:t>
      </w:r>
      <w:r w:rsidRPr="00BB4F16">
        <w:rPr>
          <w:spacing w:val="-2"/>
          <w:sz w:val="24"/>
          <w:szCs w:val="24"/>
          <w:lang w:val="en-US"/>
        </w:rPr>
        <w:t xml:space="preserve">The functional model based on the development cycle of </w:t>
      </w:r>
      <w:r>
        <w:rPr>
          <w:spacing w:val="-2"/>
          <w:sz w:val="24"/>
          <w:szCs w:val="24"/>
          <w:lang w:val="en-US"/>
        </w:rPr>
        <w:t xml:space="preserve">the program provides a constant </w:t>
      </w:r>
      <w:r w:rsidRPr="00BB4F16">
        <w:rPr>
          <w:spacing w:val="-2"/>
          <w:sz w:val="24"/>
          <w:szCs w:val="24"/>
          <w:lang w:val="en-US"/>
        </w:rPr>
        <w:t>updating the content and technologies of training.</w:t>
      </w:r>
    </w:p>
    <w:p w:rsidR="00BB4F16" w:rsidRDefault="00BB4F16" w:rsidP="00BB4F16">
      <w:pPr>
        <w:jc w:val="both"/>
        <w:rPr>
          <w:spacing w:val="-2"/>
          <w:sz w:val="24"/>
          <w:szCs w:val="24"/>
          <w:lang w:val="en-US"/>
        </w:rPr>
      </w:pPr>
      <w:r w:rsidRPr="00C654B1">
        <w:rPr>
          <w:noProof/>
          <w:spacing w:val="-2"/>
          <w:sz w:val="24"/>
          <w:szCs w:val="24"/>
          <w:lang w:val="ru-RU" w:eastAsia="ru-RU"/>
        </w:rPr>
        <w:drawing>
          <wp:inline distT="0" distB="0" distL="0" distR="0" wp14:anchorId="496F7317" wp14:editId="539F246D">
            <wp:extent cx="5857875" cy="34346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0259" cy="3441878"/>
                    </a:xfrm>
                    <a:prstGeom prst="rect">
                      <a:avLst/>
                    </a:prstGeom>
                  </pic:spPr>
                </pic:pic>
              </a:graphicData>
            </a:graphic>
          </wp:inline>
        </w:drawing>
      </w:r>
    </w:p>
    <w:p w:rsidR="00BB4F16" w:rsidRDefault="00BB4F16" w:rsidP="00BB4F16">
      <w:pPr>
        <w:jc w:val="center"/>
        <w:rPr>
          <w:spacing w:val="-2"/>
          <w:sz w:val="24"/>
          <w:szCs w:val="24"/>
          <w:lang w:val="en-US"/>
        </w:rPr>
      </w:pPr>
      <w:r w:rsidRPr="00BB4F16">
        <w:rPr>
          <w:spacing w:val="-2"/>
          <w:sz w:val="24"/>
          <w:szCs w:val="24"/>
          <w:lang w:val="en-US"/>
        </w:rPr>
        <w:t>Fig. 2. Functional model of educational programs.</w:t>
      </w:r>
    </w:p>
    <w:p w:rsidR="00BB4F16" w:rsidRDefault="00BB4F16" w:rsidP="00BB4F16">
      <w:pPr>
        <w:ind w:firstLine="284"/>
        <w:jc w:val="both"/>
        <w:rPr>
          <w:spacing w:val="-2"/>
          <w:sz w:val="24"/>
          <w:szCs w:val="24"/>
          <w:lang w:val="en-US"/>
        </w:rPr>
      </w:pPr>
    </w:p>
    <w:p w:rsidR="00BB4F16" w:rsidRDefault="00BB4F16" w:rsidP="00BB4F16">
      <w:pPr>
        <w:ind w:firstLine="284"/>
        <w:jc w:val="both"/>
        <w:rPr>
          <w:spacing w:val="-2"/>
          <w:sz w:val="24"/>
          <w:szCs w:val="24"/>
          <w:lang w:val="en-US"/>
        </w:rPr>
      </w:pPr>
      <w:r w:rsidRPr="00BB4F16">
        <w:rPr>
          <w:spacing w:val="-2"/>
          <w:sz w:val="24"/>
          <w:szCs w:val="24"/>
          <w:lang w:val="en-US"/>
        </w:rPr>
        <w:t>The basis of ensuring the quality</w:t>
      </w:r>
      <w:r>
        <w:rPr>
          <w:spacing w:val="-2"/>
          <w:sz w:val="24"/>
          <w:szCs w:val="24"/>
          <w:lang w:val="en-US"/>
        </w:rPr>
        <w:t xml:space="preserve"> (fig. 3)</w:t>
      </w:r>
      <w:r w:rsidRPr="00BB4F16">
        <w:rPr>
          <w:spacing w:val="-2"/>
          <w:sz w:val="24"/>
          <w:szCs w:val="24"/>
          <w:lang w:val="en-US"/>
        </w:rPr>
        <w:t xml:space="preserve"> of</w:t>
      </w:r>
      <w:r>
        <w:rPr>
          <w:spacing w:val="-2"/>
          <w:sz w:val="24"/>
          <w:szCs w:val="24"/>
          <w:lang w:val="en-US"/>
        </w:rPr>
        <w:t xml:space="preserve"> graduates</w:t>
      </w:r>
      <w:r w:rsidRPr="00BB4F16">
        <w:rPr>
          <w:spacing w:val="-2"/>
          <w:sz w:val="24"/>
          <w:szCs w:val="24"/>
          <w:lang w:val="en-US"/>
        </w:rPr>
        <w:t xml:space="preserve"> training </w:t>
      </w:r>
      <w:r>
        <w:rPr>
          <w:spacing w:val="-2"/>
          <w:sz w:val="24"/>
          <w:szCs w:val="24"/>
          <w:lang w:val="en-US"/>
        </w:rPr>
        <w:t xml:space="preserve">is in a monitoring system of </w:t>
      </w:r>
      <w:r w:rsidRPr="00BB4F16">
        <w:rPr>
          <w:spacing w:val="-2"/>
          <w:sz w:val="24"/>
          <w:szCs w:val="24"/>
          <w:lang w:val="en-US"/>
        </w:rPr>
        <w:t>learni</w:t>
      </w:r>
      <w:r>
        <w:rPr>
          <w:spacing w:val="-2"/>
          <w:sz w:val="24"/>
          <w:szCs w:val="24"/>
          <w:lang w:val="en-US"/>
        </w:rPr>
        <w:t>ng outcomes at different stages:</w:t>
      </w:r>
      <w:r w:rsidRPr="00BB4F16">
        <w:rPr>
          <w:spacing w:val="-2"/>
          <w:sz w:val="24"/>
          <w:szCs w:val="24"/>
          <w:lang w:val="en-US"/>
        </w:rPr>
        <w:t xml:space="preserve"> fro</w:t>
      </w:r>
      <w:r>
        <w:rPr>
          <w:spacing w:val="-2"/>
          <w:sz w:val="24"/>
          <w:szCs w:val="24"/>
          <w:lang w:val="en-US"/>
        </w:rPr>
        <w:t xml:space="preserve">m design to presentation of </w:t>
      </w:r>
      <w:r w:rsidRPr="00BB4F16">
        <w:rPr>
          <w:spacing w:val="-2"/>
          <w:sz w:val="24"/>
          <w:szCs w:val="24"/>
          <w:lang w:val="en-US"/>
        </w:rPr>
        <w:t xml:space="preserve">final </w:t>
      </w:r>
      <w:r>
        <w:rPr>
          <w:spacing w:val="-2"/>
          <w:sz w:val="24"/>
          <w:szCs w:val="24"/>
          <w:lang w:val="en-US"/>
        </w:rPr>
        <w:t>thesis</w:t>
      </w:r>
      <w:r w:rsidRPr="00BB4F16">
        <w:rPr>
          <w:spacing w:val="-2"/>
          <w:sz w:val="24"/>
          <w:szCs w:val="24"/>
          <w:lang w:val="en-US"/>
        </w:rPr>
        <w:t>.</w:t>
      </w:r>
    </w:p>
    <w:p w:rsidR="00BB4F16" w:rsidRDefault="00BB4F16" w:rsidP="00BB4F16">
      <w:pPr>
        <w:jc w:val="both"/>
        <w:rPr>
          <w:spacing w:val="-2"/>
          <w:sz w:val="24"/>
          <w:szCs w:val="24"/>
          <w:lang w:val="en-US"/>
        </w:rPr>
      </w:pPr>
      <w:r>
        <w:rPr>
          <w:noProof/>
          <w:spacing w:val="-2"/>
          <w:sz w:val="24"/>
          <w:szCs w:val="24"/>
          <w:lang w:val="ru-RU" w:eastAsia="ru-RU"/>
        </w:rPr>
        <w:lastRenderedPageBreak/>
        <w:drawing>
          <wp:inline distT="0" distB="0" distL="0" distR="0" wp14:anchorId="6D38621A" wp14:editId="27186D5E">
            <wp:extent cx="5295900" cy="2438400"/>
            <wp:effectExtent l="0" t="0" r="0" b="0"/>
            <wp:docPr id="5" name="Рисунок 5" descr="C:\Users\AlexandrZ\AppData\Local\Microsoft\Windows\INetCache\Content.Word\качест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exandrZ\AppData\Local\Microsoft\Windows\INetCache\Content.Word\качеств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2438400"/>
                    </a:xfrm>
                    <a:prstGeom prst="rect">
                      <a:avLst/>
                    </a:prstGeom>
                    <a:noFill/>
                    <a:ln>
                      <a:noFill/>
                    </a:ln>
                  </pic:spPr>
                </pic:pic>
              </a:graphicData>
            </a:graphic>
          </wp:inline>
        </w:drawing>
      </w:r>
    </w:p>
    <w:p w:rsidR="00BB4F16" w:rsidRDefault="00BB4F16" w:rsidP="00BB4F16">
      <w:pPr>
        <w:jc w:val="center"/>
        <w:rPr>
          <w:spacing w:val="-2"/>
          <w:sz w:val="24"/>
          <w:szCs w:val="24"/>
          <w:lang w:val="en-US"/>
        </w:rPr>
      </w:pPr>
      <w:r w:rsidRPr="00BB4F16">
        <w:rPr>
          <w:spacing w:val="-2"/>
          <w:sz w:val="24"/>
          <w:szCs w:val="24"/>
          <w:lang w:val="en-US"/>
        </w:rPr>
        <w:t>Fig. 3. Quality assurance model.</w:t>
      </w:r>
    </w:p>
    <w:p w:rsidR="00BB4F16" w:rsidRDefault="00BB4F16" w:rsidP="00BB4F16">
      <w:pPr>
        <w:jc w:val="center"/>
        <w:rPr>
          <w:spacing w:val="-2"/>
          <w:sz w:val="24"/>
          <w:szCs w:val="24"/>
          <w:lang w:val="en-US"/>
        </w:rPr>
      </w:pPr>
    </w:p>
    <w:p w:rsidR="00FA1C4C" w:rsidRDefault="00F2242C" w:rsidP="00F55E79">
      <w:pPr>
        <w:ind w:firstLine="284"/>
        <w:jc w:val="both"/>
        <w:rPr>
          <w:spacing w:val="-2"/>
          <w:sz w:val="24"/>
          <w:szCs w:val="24"/>
          <w:lang w:val="en-US"/>
        </w:rPr>
      </w:pPr>
      <w:r w:rsidRPr="00F2242C">
        <w:rPr>
          <w:spacing w:val="-2"/>
          <w:sz w:val="24"/>
          <w:szCs w:val="24"/>
          <w:lang w:val="en-US"/>
        </w:rPr>
        <w:t>In General, the presented developments are of great practical importance for the effective staffing</w:t>
      </w:r>
      <w:r w:rsidR="00F55E79">
        <w:rPr>
          <w:spacing w:val="-2"/>
          <w:sz w:val="24"/>
          <w:szCs w:val="24"/>
          <w:lang w:val="en-US"/>
        </w:rPr>
        <w:t xml:space="preserve"> of the metallurgical industry. </w:t>
      </w:r>
      <w:r w:rsidRPr="00F2242C">
        <w:rPr>
          <w:spacing w:val="-2"/>
          <w:sz w:val="24"/>
          <w:szCs w:val="24"/>
          <w:lang w:val="en-US"/>
        </w:rPr>
        <w:t xml:space="preserve">Partnership, integration of efforts of employers and educational organizations are key factors to ensure the quality of training, adequate to the needs of the economy and the challenges of our time. The variable model, which </w:t>
      </w:r>
      <w:proofErr w:type="gramStart"/>
      <w:r w:rsidRPr="00F2242C">
        <w:rPr>
          <w:spacing w:val="-2"/>
          <w:sz w:val="24"/>
          <w:szCs w:val="24"/>
          <w:lang w:val="en-US"/>
        </w:rPr>
        <w:t>is based</w:t>
      </w:r>
      <w:proofErr w:type="gramEnd"/>
      <w:r w:rsidRPr="00F2242C">
        <w:rPr>
          <w:spacing w:val="-2"/>
          <w:sz w:val="24"/>
          <w:szCs w:val="24"/>
          <w:lang w:val="en-US"/>
        </w:rPr>
        <w:t xml:space="preserve"> on the modular principle of construction, provides the required flexibility in the construction of individual </w:t>
      </w:r>
      <w:r w:rsidR="00F55E79">
        <w:rPr>
          <w:spacing w:val="-2"/>
          <w:sz w:val="24"/>
          <w:szCs w:val="24"/>
          <w:lang w:val="en-US"/>
        </w:rPr>
        <w:t>directions</w:t>
      </w:r>
      <w:r w:rsidRPr="00F2242C">
        <w:rPr>
          <w:spacing w:val="-2"/>
          <w:sz w:val="24"/>
          <w:szCs w:val="24"/>
          <w:lang w:val="en-US"/>
        </w:rPr>
        <w:t xml:space="preserve"> and inclusion in engineering contexts, which provides professional development and horizontal and</w:t>
      </w:r>
      <w:r w:rsidR="00F55E79">
        <w:rPr>
          <w:spacing w:val="-2"/>
          <w:sz w:val="24"/>
          <w:szCs w:val="24"/>
          <w:lang w:val="en-US"/>
        </w:rPr>
        <w:t xml:space="preserve"> vertical mobility of personnel.</w:t>
      </w:r>
    </w:p>
    <w:p w:rsidR="004F188D" w:rsidRDefault="004F188D" w:rsidP="00F55E79">
      <w:pPr>
        <w:ind w:firstLine="284"/>
        <w:jc w:val="both"/>
        <w:rPr>
          <w:spacing w:val="-2"/>
          <w:sz w:val="24"/>
          <w:szCs w:val="24"/>
          <w:lang w:val="en-US"/>
        </w:rPr>
      </w:pPr>
    </w:p>
    <w:p w:rsidR="004F188D" w:rsidRPr="00F55E79" w:rsidRDefault="004F188D" w:rsidP="004F188D">
      <w:pPr>
        <w:jc w:val="both"/>
        <w:rPr>
          <w:spacing w:val="-2"/>
          <w:sz w:val="24"/>
          <w:szCs w:val="24"/>
          <w:lang w:val="en-US"/>
        </w:rPr>
      </w:pPr>
      <w:bookmarkStart w:id="0" w:name="_GoBack"/>
      <w:bookmarkEnd w:id="0"/>
      <w:r w:rsidRPr="004F188D">
        <w:rPr>
          <w:b/>
          <w:bCs/>
          <w:sz w:val="24"/>
          <w:szCs w:val="24"/>
          <w:lang w:val="en-US"/>
        </w:rPr>
        <w:t>Acknowledgement.</w:t>
      </w:r>
      <w:r w:rsidRPr="004F188D">
        <w:rPr>
          <w:spacing w:val="-2"/>
          <w:sz w:val="24"/>
          <w:szCs w:val="24"/>
          <w:lang w:val="en-US"/>
        </w:rPr>
        <w:t xml:space="preserve"> The article is prepared in the framework of the project" Comparative analysis of social effects and the impact of institutional conditions on the training of specialists in engineering areas", implemented with the support of the Russian Foundation for Basic Research - RFBR (grant № 19-011-00252).</w:t>
      </w:r>
    </w:p>
    <w:p w:rsidR="00C621B7" w:rsidRPr="00C621B7" w:rsidRDefault="00FA1C4C" w:rsidP="00C621B7">
      <w:pPr>
        <w:pStyle w:val="TTPSectionHeading"/>
      </w:pPr>
      <w:r>
        <w:t>References</w:t>
      </w:r>
      <w:r w:rsidR="00C621B7">
        <w:rPr>
          <w:rFonts w:ascii="Segoe UI" w:hAnsi="Segoe UI" w:cs="Segoe UI"/>
          <w:color w:val="FFFFFF"/>
          <w:lang w:val="ru-RU" w:eastAsia="ru-RU"/>
        </w:rPr>
        <w:t> </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r w:rsidRPr="00C621B7">
        <w:rPr>
          <w:spacing w:val="-2"/>
          <w:sz w:val="24"/>
          <w:szCs w:val="24"/>
          <w:lang w:val="en-US"/>
        </w:rPr>
        <w:t xml:space="preserve"> Kamp A. Impact of global forces and empowering situations on engineering education in 2030 / A. Kamp, R. Klassen // Proceedings of the 12th International CDIO Conference. – </w:t>
      </w:r>
      <w:proofErr w:type="gramStart"/>
      <w:r w:rsidRPr="00C621B7">
        <w:rPr>
          <w:spacing w:val="-2"/>
          <w:sz w:val="24"/>
          <w:szCs w:val="24"/>
          <w:lang w:val="en-US"/>
        </w:rPr>
        <w:t>Turku :</w:t>
      </w:r>
      <w:proofErr w:type="gramEnd"/>
      <w:r w:rsidRPr="00C621B7">
        <w:rPr>
          <w:spacing w:val="-2"/>
          <w:sz w:val="24"/>
          <w:szCs w:val="24"/>
          <w:lang w:val="en-US"/>
        </w:rPr>
        <w:t xml:space="preserve"> Turku University of Applied Sciences, 2016. – P. 1110-1120.                Features of the modern educational environment for engineers / O. Rebrin, I. </w:t>
      </w:r>
      <w:proofErr w:type="spellStart"/>
      <w:r w:rsidRPr="00C621B7">
        <w:rPr>
          <w:spacing w:val="-2"/>
          <w:sz w:val="24"/>
          <w:szCs w:val="24"/>
          <w:lang w:val="en-US"/>
        </w:rPr>
        <w:t>Sholina</w:t>
      </w:r>
      <w:proofErr w:type="spellEnd"/>
      <w:r w:rsidRPr="00C621B7">
        <w:rPr>
          <w:spacing w:val="-2"/>
          <w:sz w:val="24"/>
          <w:szCs w:val="24"/>
          <w:lang w:val="en-US"/>
        </w:rPr>
        <w:t>. // DAAAM International Scientific Book 2014. – 2014. – P 501-508. </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r w:rsidRPr="00C621B7">
        <w:rPr>
          <w:spacing w:val="-2"/>
          <w:sz w:val="24"/>
          <w:szCs w:val="24"/>
          <w:lang w:val="en-US"/>
        </w:rPr>
        <w:t xml:space="preserve">Crawley E. F. Rethinking Engineering Education: The CDIO Approach / E. F. Crawley, J. </w:t>
      </w:r>
      <w:proofErr w:type="spellStart"/>
      <w:r w:rsidRPr="00C621B7">
        <w:rPr>
          <w:spacing w:val="-2"/>
          <w:sz w:val="24"/>
          <w:szCs w:val="24"/>
          <w:lang w:val="en-US"/>
        </w:rPr>
        <w:t>Malmqvist</w:t>
      </w:r>
      <w:proofErr w:type="spellEnd"/>
      <w:r w:rsidRPr="00C621B7">
        <w:rPr>
          <w:spacing w:val="-2"/>
          <w:sz w:val="24"/>
          <w:szCs w:val="24"/>
          <w:lang w:val="en-US"/>
        </w:rPr>
        <w:t xml:space="preserve">, S. </w:t>
      </w:r>
      <w:proofErr w:type="spellStart"/>
      <w:proofErr w:type="gramStart"/>
      <w:r w:rsidRPr="00C621B7">
        <w:rPr>
          <w:spacing w:val="-2"/>
          <w:sz w:val="24"/>
          <w:szCs w:val="24"/>
          <w:lang w:val="en-US"/>
        </w:rPr>
        <w:t>Östlund</w:t>
      </w:r>
      <w:proofErr w:type="spellEnd"/>
      <w:r w:rsidRPr="00C621B7">
        <w:rPr>
          <w:spacing w:val="-2"/>
          <w:sz w:val="24"/>
          <w:szCs w:val="24"/>
          <w:lang w:val="en-US"/>
        </w:rPr>
        <w:t xml:space="preserve"> ;</w:t>
      </w:r>
      <w:proofErr w:type="gramEnd"/>
      <w:r w:rsidRPr="00C621B7">
        <w:rPr>
          <w:spacing w:val="-2"/>
          <w:sz w:val="24"/>
          <w:szCs w:val="24"/>
          <w:lang w:val="en-US"/>
        </w:rPr>
        <w:t xml:space="preserve"> Springer. – 2014. – 311 p. – ISBN-13:978-0387382876.</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r w:rsidRPr="00C621B7">
        <w:rPr>
          <w:spacing w:val="-2"/>
          <w:sz w:val="24"/>
          <w:szCs w:val="24"/>
          <w:lang w:val="en-US"/>
        </w:rPr>
        <w:t xml:space="preserve">OECD Science, Technology and Industry Scoreboard 2015: Innovation for growth and society [Electronic resource] / OECD Publishing. – Paris, 2015. – 264 p. – Mode of </w:t>
      </w:r>
      <w:proofErr w:type="spellStart"/>
      <w:r w:rsidRPr="00C621B7">
        <w:rPr>
          <w:spacing w:val="-2"/>
          <w:sz w:val="24"/>
          <w:szCs w:val="24"/>
          <w:lang w:val="en-US"/>
        </w:rPr>
        <w:t>access</w:t>
      </w:r>
      <w:proofErr w:type="gramStart"/>
      <w:r w:rsidRPr="00C621B7">
        <w:rPr>
          <w:spacing w:val="-2"/>
          <w:sz w:val="24"/>
          <w:szCs w:val="24"/>
          <w:lang w:val="en-US"/>
        </w:rPr>
        <w:t>:</w:t>
      </w:r>
      <w:proofErr w:type="gramEnd"/>
      <w:r w:rsidRPr="00C621B7">
        <w:rPr>
          <w:spacing w:val="-2"/>
          <w:sz w:val="24"/>
          <w:szCs w:val="24"/>
          <w:lang w:val="en-US"/>
        </w:rPr>
        <w:fldChar w:fldCharType="begin"/>
      </w:r>
      <w:r w:rsidRPr="00C621B7">
        <w:rPr>
          <w:spacing w:val="-2"/>
          <w:sz w:val="24"/>
          <w:szCs w:val="24"/>
          <w:lang w:val="en-US"/>
        </w:rPr>
        <w:instrText xml:space="preserve"> HYPERLINK "http://dx.doi.org/10.1787/sti_scoreboard-2015-en" \t "_blank" </w:instrText>
      </w:r>
      <w:r w:rsidRPr="00C621B7">
        <w:rPr>
          <w:spacing w:val="-2"/>
          <w:sz w:val="24"/>
          <w:szCs w:val="24"/>
          <w:lang w:val="en-US"/>
        </w:rPr>
        <w:fldChar w:fldCharType="separate"/>
      </w:r>
      <w:r w:rsidRPr="00C621B7">
        <w:rPr>
          <w:spacing w:val="-2"/>
          <w:sz w:val="24"/>
          <w:szCs w:val="24"/>
          <w:lang w:val="en-US"/>
        </w:rPr>
        <w:t>http</w:t>
      </w:r>
      <w:proofErr w:type="spellEnd"/>
      <w:r w:rsidRPr="00C621B7">
        <w:rPr>
          <w:spacing w:val="-2"/>
          <w:sz w:val="24"/>
          <w:szCs w:val="24"/>
          <w:lang w:val="en-US"/>
        </w:rPr>
        <w:t>://dx.doi.org/10.1787/sti_scoreboard-2015-en</w:t>
      </w:r>
      <w:r w:rsidRPr="00C621B7">
        <w:rPr>
          <w:spacing w:val="-2"/>
          <w:sz w:val="24"/>
          <w:szCs w:val="24"/>
          <w:lang w:val="en-US"/>
        </w:rPr>
        <w:fldChar w:fldCharType="end"/>
      </w:r>
      <w:r w:rsidRPr="00C621B7">
        <w:rPr>
          <w:spacing w:val="-2"/>
          <w:sz w:val="24"/>
          <w:szCs w:val="24"/>
          <w:lang w:val="en-US"/>
        </w:rPr>
        <w:t>.</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r w:rsidRPr="00C621B7">
        <w:rPr>
          <w:spacing w:val="-2"/>
          <w:sz w:val="24"/>
          <w:szCs w:val="24"/>
          <w:lang w:val="en-US"/>
        </w:rPr>
        <w:t xml:space="preserve"> A Tuning-AHELO Conceptual Framework of Expected Desired/Learning Outcomes in Engineering [Electronic resource] / OECD Publishing. – Paris, 2011. – 55 p. – Mode of </w:t>
      </w:r>
      <w:proofErr w:type="spellStart"/>
      <w:r w:rsidRPr="00C621B7">
        <w:rPr>
          <w:spacing w:val="-2"/>
          <w:sz w:val="24"/>
          <w:szCs w:val="24"/>
          <w:lang w:val="en-US"/>
        </w:rPr>
        <w:t>access</w:t>
      </w:r>
      <w:proofErr w:type="gramStart"/>
      <w:r w:rsidRPr="00C621B7">
        <w:rPr>
          <w:spacing w:val="-2"/>
          <w:sz w:val="24"/>
          <w:szCs w:val="24"/>
          <w:lang w:val="en-US"/>
        </w:rPr>
        <w:t>:</w:t>
      </w:r>
      <w:proofErr w:type="gramEnd"/>
      <w:r w:rsidR="00252327">
        <w:rPr>
          <w:spacing w:val="-2"/>
          <w:sz w:val="24"/>
          <w:szCs w:val="24"/>
          <w:lang w:val="en-US"/>
        </w:rPr>
        <w:fldChar w:fldCharType="begin"/>
      </w:r>
      <w:r w:rsidR="00252327">
        <w:rPr>
          <w:spacing w:val="-2"/>
          <w:sz w:val="24"/>
          <w:szCs w:val="24"/>
          <w:lang w:val="en-US"/>
        </w:rPr>
        <w:instrText xml:space="preserve"> HYPERLINK "http://dx.doi.org/10.1787/5kghtchn8mbn-en" \t "_blank" </w:instrText>
      </w:r>
      <w:r w:rsidR="00252327">
        <w:rPr>
          <w:spacing w:val="-2"/>
          <w:sz w:val="24"/>
          <w:szCs w:val="24"/>
          <w:lang w:val="en-US"/>
        </w:rPr>
        <w:fldChar w:fldCharType="separate"/>
      </w:r>
      <w:r w:rsidRPr="00C621B7">
        <w:rPr>
          <w:spacing w:val="-2"/>
          <w:sz w:val="24"/>
          <w:szCs w:val="24"/>
          <w:lang w:val="en-US"/>
        </w:rPr>
        <w:t>http</w:t>
      </w:r>
      <w:proofErr w:type="spellEnd"/>
      <w:r w:rsidRPr="00C621B7">
        <w:rPr>
          <w:spacing w:val="-2"/>
          <w:sz w:val="24"/>
          <w:szCs w:val="24"/>
          <w:lang w:val="en-US"/>
        </w:rPr>
        <w:t>://dx.doi.org/10.1787/5kghtchn8mbn-en</w:t>
      </w:r>
      <w:r w:rsidR="00252327">
        <w:rPr>
          <w:spacing w:val="-2"/>
          <w:sz w:val="24"/>
          <w:szCs w:val="24"/>
          <w:lang w:val="en-US"/>
        </w:rPr>
        <w:fldChar w:fldCharType="end"/>
      </w:r>
      <w:r w:rsidRPr="00C621B7">
        <w:rPr>
          <w:spacing w:val="-2"/>
          <w:sz w:val="24"/>
          <w:szCs w:val="24"/>
          <w:lang w:val="en-US"/>
        </w:rPr>
        <w:t>.</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r w:rsidRPr="00C621B7">
        <w:rPr>
          <w:spacing w:val="-2"/>
          <w:sz w:val="24"/>
          <w:szCs w:val="24"/>
          <w:lang w:val="en-US"/>
        </w:rPr>
        <w:t> </w:t>
      </w:r>
      <w:proofErr w:type="gramStart"/>
      <w:r w:rsidRPr="00C621B7">
        <w:rPr>
          <w:spacing w:val="-2"/>
          <w:sz w:val="24"/>
          <w:szCs w:val="24"/>
          <w:lang w:val="en-US"/>
        </w:rPr>
        <w:t>42</w:t>
      </w:r>
      <w:proofErr w:type="gramEnd"/>
      <w:r w:rsidRPr="00C621B7">
        <w:rPr>
          <w:spacing w:val="-2"/>
          <w:sz w:val="24"/>
          <w:szCs w:val="24"/>
          <w:lang w:val="en-US"/>
        </w:rPr>
        <w:t xml:space="preserve"> p. – Mode of access: </w:t>
      </w:r>
      <w:hyperlink r:id="rId9" w:tgtFrame="_blank" w:history="1">
        <w:r w:rsidRPr="00C621B7">
          <w:rPr>
            <w:spacing w:val="-2"/>
            <w:sz w:val="24"/>
            <w:szCs w:val="24"/>
            <w:lang w:val="en-US"/>
          </w:rPr>
          <w:t>http://publications.lib.chalmers.se/records/fulltext/local_143186.pdf</w:t>
        </w:r>
      </w:hyperlink>
      <w:r w:rsidRPr="00C621B7">
        <w:rPr>
          <w:spacing w:val="-2"/>
          <w:sz w:val="24"/>
          <w:szCs w:val="24"/>
          <w:lang w:val="en-US"/>
        </w:rPr>
        <w:t>.</w:t>
      </w:r>
    </w:p>
    <w:p w:rsidR="00C621B7" w:rsidRPr="00C621B7" w:rsidRDefault="00C621B7" w:rsidP="00C621B7">
      <w:pPr>
        <w:numPr>
          <w:ilvl w:val="0"/>
          <w:numId w:val="2"/>
        </w:numPr>
        <w:shd w:val="clear" w:color="auto" w:fill="FFFFFF"/>
        <w:autoSpaceDE/>
        <w:autoSpaceDN/>
        <w:spacing w:before="100" w:beforeAutospacing="1" w:after="100" w:afterAutospacing="1"/>
        <w:ind w:left="284"/>
        <w:rPr>
          <w:spacing w:val="-2"/>
          <w:sz w:val="24"/>
          <w:szCs w:val="24"/>
          <w:lang w:val="en-US"/>
        </w:rPr>
      </w:pPr>
      <w:proofErr w:type="spellStart"/>
      <w:r w:rsidRPr="00C621B7">
        <w:rPr>
          <w:spacing w:val="-2"/>
          <w:sz w:val="24"/>
          <w:szCs w:val="24"/>
          <w:lang w:val="en-US"/>
        </w:rPr>
        <w:t>Rebrin</w:t>
      </w:r>
      <w:proofErr w:type="spellEnd"/>
      <w:r w:rsidRPr="00C621B7">
        <w:rPr>
          <w:spacing w:val="-2"/>
          <w:sz w:val="24"/>
          <w:szCs w:val="24"/>
          <w:lang w:val="en-US"/>
        </w:rPr>
        <w:t xml:space="preserve"> O. I. Interdisciplinary Project for Bachelor Engineering Program [Electronic resource] / O. I. </w:t>
      </w:r>
      <w:proofErr w:type="spellStart"/>
      <w:r w:rsidRPr="00C621B7">
        <w:rPr>
          <w:spacing w:val="-2"/>
          <w:sz w:val="24"/>
          <w:szCs w:val="24"/>
          <w:lang w:val="en-US"/>
        </w:rPr>
        <w:t>Rebrin</w:t>
      </w:r>
      <w:proofErr w:type="spellEnd"/>
      <w:r w:rsidRPr="00C621B7">
        <w:rPr>
          <w:spacing w:val="-2"/>
          <w:sz w:val="24"/>
          <w:szCs w:val="24"/>
          <w:lang w:val="en-US"/>
        </w:rPr>
        <w:t xml:space="preserve">, I. I. </w:t>
      </w:r>
      <w:proofErr w:type="spellStart"/>
      <w:r w:rsidRPr="00C621B7">
        <w:rPr>
          <w:spacing w:val="-2"/>
          <w:sz w:val="24"/>
          <w:szCs w:val="24"/>
          <w:lang w:val="en-US"/>
        </w:rPr>
        <w:t>Sholina</w:t>
      </w:r>
      <w:proofErr w:type="spellEnd"/>
      <w:r w:rsidRPr="00C621B7">
        <w:rPr>
          <w:spacing w:val="-2"/>
          <w:sz w:val="24"/>
          <w:szCs w:val="24"/>
          <w:lang w:val="en-US"/>
        </w:rPr>
        <w:t xml:space="preserve">, S.A. </w:t>
      </w:r>
      <w:proofErr w:type="spellStart"/>
      <w:r w:rsidRPr="00C621B7">
        <w:rPr>
          <w:spacing w:val="-2"/>
          <w:sz w:val="24"/>
          <w:szCs w:val="24"/>
          <w:lang w:val="en-US"/>
        </w:rPr>
        <w:t>Berestova</w:t>
      </w:r>
      <w:proofErr w:type="spellEnd"/>
      <w:r w:rsidRPr="00C621B7">
        <w:rPr>
          <w:spacing w:val="-2"/>
          <w:sz w:val="24"/>
          <w:szCs w:val="24"/>
          <w:lang w:val="en-US"/>
        </w:rPr>
        <w:t xml:space="preserve"> // Proceedings of the 10th International CDIO Conference / </w:t>
      </w:r>
      <w:proofErr w:type="spellStart"/>
      <w:r w:rsidRPr="00C621B7">
        <w:rPr>
          <w:spacing w:val="-2"/>
          <w:sz w:val="24"/>
          <w:szCs w:val="24"/>
          <w:lang w:val="en-US"/>
        </w:rPr>
        <w:t>Universitat</w:t>
      </w:r>
      <w:proofErr w:type="spellEnd"/>
      <w:r w:rsidRPr="00C621B7">
        <w:rPr>
          <w:spacing w:val="-2"/>
          <w:sz w:val="24"/>
          <w:szCs w:val="24"/>
          <w:lang w:val="en-US"/>
        </w:rPr>
        <w:t xml:space="preserve"> </w:t>
      </w:r>
      <w:proofErr w:type="spellStart"/>
      <w:r w:rsidRPr="00C621B7">
        <w:rPr>
          <w:spacing w:val="-2"/>
          <w:sz w:val="24"/>
          <w:szCs w:val="24"/>
          <w:lang w:val="en-US"/>
        </w:rPr>
        <w:t>Politechnica</w:t>
      </w:r>
      <w:proofErr w:type="spellEnd"/>
      <w:r w:rsidRPr="00C621B7">
        <w:rPr>
          <w:spacing w:val="-2"/>
          <w:sz w:val="24"/>
          <w:szCs w:val="24"/>
          <w:lang w:val="en-US"/>
        </w:rPr>
        <w:t xml:space="preserve"> de </w:t>
      </w:r>
      <w:proofErr w:type="spellStart"/>
      <w:r w:rsidRPr="00C621B7">
        <w:rPr>
          <w:spacing w:val="-2"/>
          <w:sz w:val="24"/>
          <w:szCs w:val="24"/>
          <w:lang w:val="en-US"/>
        </w:rPr>
        <w:t>Catalunya</w:t>
      </w:r>
      <w:proofErr w:type="spellEnd"/>
      <w:r w:rsidRPr="00C621B7">
        <w:rPr>
          <w:spacing w:val="-2"/>
          <w:sz w:val="24"/>
          <w:szCs w:val="24"/>
          <w:lang w:val="en-US"/>
        </w:rPr>
        <w:t>. – Barcelona, 2014. – Mode of access: </w:t>
      </w:r>
      <w:hyperlink r:id="rId10" w:tgtFrame="_blank" w:history="1">
        <w:r w:rsidRPr="00C621B7">
          <w:rPr>
            <w:spacing w:val="-2"/>
            <w:sz w:val="24"/>
            <w:szCs w:val="24"/>
            <w:lang w:val="en-US"/>
          </w:rPr>
          <w:t>http://www.cdio.org/node/6072</w:t>
        </w:r>
      </w:hyperlink>
      <w:r w:rsidRPr="00C621B7">
        <w:rPr>
          <w:spacing w:val="-2"/>
          <w:sz w:val="24"/>
          <w:szCs w:val="24"/>
          <w:lang w:val="en-US"/>
        </w:rPr>
        <w:t>.  </w:t>
      </w:r>
      <w:proofErr w:type="spellStart"/>
      <w:r w:rsidRPr="00C621B7">
        <w:rPr>
          <w:spacing w:val="-2"/>
          <w:sz w:val="24"/>
          <w:szCs w:val="24"/>
          <w:lang w:val="en-US"/>
        </w:rPr>
        <w:t>Rebrin</w:t>
      </w:r>
      <w:proofErr w:type="spellEnd"/>
      <w:r w:rsidRPr="00C621B7">
        <w:rPr>
          <w:spacing w:val="-2"/>
          <w:sz w:val="24"/>
          <w:szCs w:val="24"/>
          <w:lang w:val="en-US"/>
        </w:rPr>
        <w:t xml:space="preserve"> O. I. Interdisciplinary Project for Bachelor Engineering Program [Electronic resource] / O. I. </w:t>
      </w:r>
      <w:proofErr w:type="spellStart"/>
      <w:r w:rsidRPr="00C621B7">
        <w:rPr>
          <w:spacing w:val="-2"/>
          <w:sz w:val="24"/>
          <w:szCs w:val="24"/>
          <w:lang w:val="en-US"/>
        </w:rPr>
        <w:t>Rebrin</w:t>
      </w:r>
      <w:proofErr w:type="spellEnd"/>
      <w:r w:rsidRPr="00C621B7">
        <w:rPr>
          <w:spacing w:val="-2"/>
          <w:sz w:val="24"/>
          <w:szCs w:val="24"/>
          <w:lang w:val="en-US"/>
        </w:rPr>
        <w:t xml:space="preserve">, I. I. </w:t>
      </w:r>
      <w:proofErr w:type="spellStart"/>
      <w:r w:rsidRPr="00C621B7">
        <w:rPr>
          <w:spacing w:val="-2"/>
          <w:sz w:val="24"/>
          <w:szCs w:val="24"/>
          <w:lang w:val="en-US"/>
        </w:rPr>
        <w:t>Sholina</w:t>
      </w:r>
      <w:proofErr w:type="spellEnd"/>
      <w:r w:rsidRPr="00C621B7">
        <w:rPr>
          <w:spacing w:val="-2"/>
          <w:sz w:val="24"/>
          <w:szCs w:val="24"/>
          <w:lang w:val="en-US"/>
        </w:rPr>
        <w:t xml:space="preserve">, S.A. </w:t>
      </w:r>
      <w:proofErr w:type="spellStart"/>
      <w:r w:rsidRPr="00C621B7">
        <w:rPr>
          <w:spacing w:val="-2"/>
          <w:sz w:val="24"/>
          <w:szCs w:val="24"/>
          <w:lang w:val="en-US"/>
        </w:rPr>
        <w:t>Berestova</w:t>
      </w:r>
      <w:proofErr w:type="spellEnd"/>
      <w:r w:rsidRPr="00C621B7">
        <w:rPr>
          <w:spacing w:val="-2"/>
          <w:sz w:val="24"/>
          <w:szCs w:val="24"/>
          <w:lang w:val="en-US"/>
        </w:rPr>
        <w:t xml:space="preserve"> // Proceedings of the 10th International CDIO Conference / </w:t>
      </w:r>
      <w:proofErr w:type="spellStart"/>
      <w:r w:rsidRPr="00C621B7">
        <w:rPr>
          <w:spacing w:val="-2"/>
          <w:sz w:val="24"/>
          <w:szCs w:val="24"/>
          <w:lang w:val="en-US"/>
        </w:rPr>
        <w:t>Universitat</w:t>
      </w:r>
      <w:proofErr w:type="spellEnd"/>
      <w:r w:rsidRPr="00C621B7">
        <w:rPr>
          <w:spacing w:val="-2"/>
          <w:sz w:val="24"/>
          <w:szCs w:val="24"/>
          <w:lang w:val="en-US"/>
        </w:rPr>
        <w:t xml:space="preserve"> </w:t>
      </w:r>
      <w:proofErr w:type="spellStart"/>
      <w:r w:rsidRPr="00C621B7">
        <w:rPr>
          <w:spacing w:val="-2"/>
          <w:sz w:val="24"/>
          <w:szCs w:val="24"/>
          <w:lang w:val="en-US"/>
        </w:rPr>
        <w:t>Politechnica</w:t>
      </w:r>
      <w:proofErr w:type="spellEnd"/>
      <w:r w:rsidRPr="00C621B7">
        <w:rPr>
          <w:spacing w:val="-2"/>
          <w:sz w:val="24"/>
          <w:szCs w:val="24"/>
          <w:lang w:val="en-US"/>
        </w:rPr>
        <w:t xml:space="preserve"> de </w:t>
      </w:r>
      <w:proofErr w:type="spellStart"/>
      <w:r w:rsidRPr="00C621B7">
        <w:rPr>
          <w:spacing w:val="-2"/>
          <w:sz w:val="24"/>
          <w:szCs w:val="24"/>
          <w:lang w:val="en-US"/>
        </w:rPr>
        <w:t>Catalunya</w:t>
      </w:r>
      <w:proofErr w:type="spellEnd"/>
      <w:r w:rsidRPr="00C621B7">
        <w:rPr>
          <w:spacing w:val="-2"/>
          <w:sz w:val="24"/>
          <w:szCs w:val="24"/>
          <w:lang w:val="en-US"/>
        </w:rPr>
        <w:t>. – Barcelona, 2014. – Mode of access: </w:t>
      </w:r>
      <w:hyperlink r:id="rId11" w:tgtFrame="_blank" w:history="1">
        <w:r w:rsidRPr="00C621B7">
          <w:rPr>
            <w:spacing w:val="-2"/>
            <w:sz w:val="24"/>
            <w:szCs w:val="24"/>
            <w:lang w:val="en-US"/>
          </w:rPr>
          <w:t>http://www.cdio.org/node/6072</w:t>
        </w:r>
      </w:hyperlink>
      <w:r w:rsidRPr="00C621B7">
        <w:rPr>
          <w:spacing w:val="-2"/>
          <w:sz w:val="24"/>
          <w:szCs w:val="24"/>
          <w:lang w:val="en-US"/>
        </w:rPr>
        <w:t>. </w:t>
      </w:r>
    </w:p>
    <w:p w:rsidR="00C621B7" w:rsidRPr="00C621B7" w:rsidRDefault="00C621B7" w:rsidP="00C621B7">
      <w:pPr>
        <w:numPr>
          <w:ilvl w:val="0"/>
          <w:numId w:val="2"/>
        </w:numPr>
        <w:shd w:val="clear" w:color="auto" w:fill="FFFFFF"/>
        <w:autoSpaceDE/>
        <w:autoSpaceDN/>
        <w:spacing w:before="100" w:beforeAutospacing="1" w:after="100" w:afterAutospacing="1"/>
        <w:ind w:left="284"/>
        <w:rPr>
          <w:rFonts w:ascii="Arial" w:hAnsi="Arial" w:cs="Arial"/>
          <w:color w:val="222222"/>
          <w:sz w:val="24"/>
          <w:szCs w:val="24"/>
          <w:lang w:val="en-US" w:eastAsia="ru-RU"/>
        </w:rPr>
      </w:pPr>
      <w:proofErr w:type="spellStart"/>
      <w:r w:rsidRPr="00C621B7">
        <w:rPr>
          <w:spacing w:val="-2"/>
          <w:sz w:val="24"/>
          <w:szCs w:val="24"/>
          <w:lang w:val="en-US"/>
        </w:rPr>
        <w:lastRenderedPageBreak/>
        <w:t>Rebrin</w:t>
      </w:r>
      <w:proofErr w:type="spellEnd"/>
      <w:r w:rsidRPr="00C621B7">
        <w:rPr>
          <w:spacing w:val="-2"/>
          <w:sz w:val="24"/>
          <w:szCs w:val="24"/>
          <w:lang w:val="en-US"/>
        </w:rPr>
        <w:t xml:space="preserve"> O.I., </w:t>
      </w:r>
      <w:proofErr w:type="spellStart"/>
      <w:r w:rsidRPr="00C621B7">
        <w:rPr>
          <w:spacing w:val="-2"/>
          <w:sz w:val="24"/>
          <w:szCs w:val="24"/>
          <w:lang w:val="en-US"/>
        </w:rPr>
        <w:t>Sholina</w:t>
      </w:r>
      <w:proofErr w:type="spellEnd"/>
      <w:r w:rsidRPr="00C621B7">
        <w:rPr>
          <w:spacing w:val="-2"/>
          <w:sz w:val="24"/>
          <w:szCs w:val="24"/>
          <w:lang w:val="en-US"/>
        </w:rPr>
        <w:t xml:space="preserve"> I.I. (2011). [“TEMPUS” – The way in the European higher education]. </w:t>
      </w:r>
      <w:proofErr w:type="spellStart"/>
      <w:r w:rsidRPr="00C621B7">
        <w:rPr>
          <w:spacing w:val="-2"/>
          <w:sz w:val="24"/>
          <w:szCs w:val="24"/>
          <w:lang w:val="en-US"/>
        </w:rPr>
        <w:t>Vestnik</w:t>
      </w:r>
      <w:proofErr w:type="spellEnd"/>
      <w:r w:rsidRPr="00C621B7">
        <w:rPr>
          <w:spacing w:val="-2"/>
          <w:sz w:val="24"/>
          <w:szCs w:val="24"/>
          <w:lang w:val="en-US"/>
        </w:rPr>
        <w:t> </w:t>
      </w:r>
      <w:proofErr w:type="spellStart"/>
      <w:r w:rsidRPr="00C621B7">
        <w:rPr>
          <w:spacing w:val="-2"/>
          <w:sz w:val="24"/>
          <w:szCs w:val="24"/>
          <w:lang w:val="en-US"/>
        </w:rPr>
        <w:t>Tverskogo</w:t>
      </w:r>
      <w:proofErr w:type="spellEnd"/>
      <w:r w:rsidRPr="00C621B7">
        <w:rPr>
          <w:spacing w:val="-2"/>
          <w:sz w:val="24"/>
          <w:szCs w:val="24"/>
          <w:lang w:val="en-US"/>
        </w:rPr>
        <w:t xml:space="preserve"> </w:t>
      </w:r>
      <w:proofErr w:type="spellStart"/>
      <w:r w:rsidRPr="00C621B7">
        <w:rPr>
          <w:spacing w:val="-2"/>
          <w:sz w:val="24"/>
          <w:szCs w:val="24"/>
          <w:lang w:val="en-US"/>
        </w:rPr>
        <w:t>gosudarstvennogo</w:t>
      </w:r>
      <w:proofErr w:type="spellEnd"/>
      <w:r w:rsidRPr="00C621B7">
        <w:rPr>
          <w:spacing w:val="-2"/>
          <w:sz w:val="24"/>
          <w:szCs w:val="24"/>
          <w:lang w:val="en-US"/>
        </w:rPr>
        <w:t xml:space="preserve"> </w:t>
      </w:r>
      <w:proofErr w:type="spellStart"/>
      <w:r w:rsidRPr="00C621B7">
        <w:rPr>
          <w:spacing w:val="-2"/>
          <w:sz w:val="24"/>
          <w:szCs w:val="24"/>
          <w:lang w:val="en-US"/>
        </w:rPr>
        <w:t>universiteta</w:t>
      </w:r>
      <w:proofErr w:type="spellEnd"/>
      <w:r w:rsidRPr="00C621B7">
        <w:rPr>
          <w:spacing w:val="-2"/>
          <w:sz w:val="24"/>
          <w:szCs w:val="24"/>
          <w:lang w:val="en-US"/>
        </w:rPr>
        <w:t xml:space="preserve">. </w:t>
      </w:r>
      <w:proofErr w:type="spellStart"/>
      <w:r w:rsidRPr="00C621B7">
        <w:rPr>
          <w:spacing w:val="-2"/>
          <w:sz w:val="24"/>
          <w:szCs w:val="24"/>
          <w:lang w:val="en-US"/>
        </w:rPr>
        <w:t>Seriya</w:t>
      </w:r>
      <w:proofErr w:type="spellEnd"/>
      <w:r w:rsidRPr="00C621B7">
        <w:rPr>
          <w:spacing w:val="-2"/>
          <w:sz w:val="24"/>
          <w:szCs w:val="24"/>
          <w:lang w:val="en-US"/>
        </w:rPr>
        <w:t xml:space="preserve">: </w:t>
      </w:r>
      <w:proofErr w:type="spellStart"/>
      <w:r w:rsidRPr="00C621B7">
        <w:rPr>
          <w:spacing w:val="-2"/>
          <w:sz w:val="24"/>
          <w:szCs w:val="24"/>
          <w:lang w:val="en-US"/>
        </w:rPr>
        <w:t>Pedagogika</w:t>
      </w:r>
      <w:proofErr w:type="spellEnd"/>
      <w:r w:rsidRPr="00C621B7">
        <w:rPr>
          <w:spacing w:val="-2"/>
          <w:sz w:val="24"/>
          <w:szCs w:val="24"/>
          <w:lang w:val="en-US"/>
        </w:rPr>
        <w:t xml:space="preserve"> </w:t>
      </w:r>
      <w:proofErr w:type="spellStart"/>
      <w:r w:rsidRPr="00C621B7">
        <w:rPr>
          <w:spacing w:val="-2"/>
          <w:sz w:val="24"/>
          <w:szCs w:val="24"/>
          <w:lang w:val="en-US"/>
        </w:rPr>
        <w:t>i</w:t>
      </w:r>
      <w:proofErr w:type="spellEnd"/>
      <w:r w:rsidRPr="00C621B7">
        <w:rPr>
          <w:spacing w:val="-2"/>
          <w:sz w:val="24"/>
          <w:szCs w:val="24"/>
          <w:lang w:val="en-US"/>
        </w:rPr>
        <w:t xml:space="preserve"> </w:t>
      </w:r>
      <w:proofErr w:type="spellStart"/>
      <w:r w:rsidRPr="00C621B7">
        <w:rPr>
          <w:spacing w:val="-2"/>
          <w:sz w:val="24"/>
          <w:szCs w:val="24"/>
          <w:lang w:val="en-US"/>
        </w:rPr>
        <w:t>psihologiya</w:t>
      </w:r>
      <w:proofErr w:type="spellEnd"/>
      <w:r w:rsidRPr="00C621B7">
        <w:rPr>
          <w:spacing w:val="-2"/>
          <w:sz w:val="24"/>
          <w:szCs w:val="24"/>
          <w:lang w:val="en-US"/>
        </w:rPr>
        <w:t xml:space="preserve"> =Letters of </w:t>
      </w:r>
      <w:proofErr w:type="spellStart"/>
      <w:r w:rsidRPr="00C621B7">
        <w:rPr>
          <w:spacing w:val="-2"/>
          <w:sz w:val="24"/>
          <w:szCs w:val="24"/>
          <w:lang w:val="en-US"/>
        </w:rPr>
        <w:t>Tverskoij</w:t>
      </w:r>
      <w:proofErr w:type="spellEnd"/>
      <w:r w:rsidRPr="00C621B7">
        <w:rPr>
          <w:spacing w:val="-2"/>
          <w:sz w:val="24"/>
          <w:szCs w:val="24"/>
          <w:lang w:val="en-US"/>
        </w:rPr>
        <w:t xml:space="preserve"> State University. Series: Pedagogics and Psychology. No. 4, pp. 152-160. (In Russ., abstract in Eng.)</w:t>
      </w:r>
    </w:p>
    <w:sectPr w:rsidR="00C621B7" w:rsidRPr="00C6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A8D"/>
    <w:multiLevelType w:val="hybridMultilevel"/>
    <w:tmpl w:val="1C4845B4"/>
    <w:lvl w:ilvl="0" w:tplc="5C8CDA16">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15:restartNumberingAfterBreak="0">
    <w:nsid w:val="1EED1469"/>
    <w:multiLevelType w:val="multilevel"/>
    <w:tmpl w:val="7C4018D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C"/>
    <w:rsid w:val="00011707"/>
    <w:rsid w:val="0003356E"/>
    <w:rsid w:val="000A3124"/>
    <w:rsid w:val="000E6E90"/>
    <w:rsid w:val="00111EBB"/>
    <w:rsid w:val="0016388C"/>
    <w:rsid w:val="001D7088"/>
    <w:rsid w:val="00202BAA"/>
    <w:rsid w:val="00222F03"/>
    <w:rsid w:val="00233F97"/>
    <w:rsid w:val="00252327"/>
    <w:rsid w:val="002F31A3"/>
    <w:rsid w:val="002F3CFA"/>
    <w:rsid w:val="00312CDC"/>
    <w:rsid w:val="00355A59"/>
    <w:rsid w:val="003861BE"/>
    <w:rsid w:val="003A6096"/>
    <w:rsid w:val="003D2E3C"/>
    <w:rsid w:val="0040745A"/>
    <w:rsid w:val="004601A4"/>
    <w:rsid w:val="004604ED"/>
    <w:rsid w:val="00487E84"/>
    <w:rsid w:val="004F188D"/>
    <w:rsid w:val="00521884"/>
    <w:rsid w:val="00525FBE"/>
    <w:rsid w:val="00542155"/>
    <w:rsid w:val="005E0E2A"/>
    <w:rsid w:val="005F056B"/>
    <w:rsid w:val="0069088D"/>
    <w:rsid w:val="007073B9"/>
    <w:rsid w:val="00725042"/>
    <w:rsid w:val="007611A7"/>
    <w:rsid w:val="00765495"/>
    <w:rsid w:val="007842AC"/>
    <w:rsid w:val="00795E9E"/>
    <w:rsid w:val="007D3D1F"/>
    <w:rsid w:val="00807258"/>
    <w:rsid w:val="008D1000"/>
    <w:rsid w:val="008F7CB8"/>
    <w:rsid w:val="009814F2"/>
    <w:rsid w:val="009B53BA"/>
    <w:rsid w:val="00A21DED"/>
    <w:rsid w:val="00A435D9"/>
    <w:rsid w:val="00AB7D52"/>
    <w:rsid w:val="00B1217A"/>
    <w:rsid w:val="00B438F7"/>
    <w:rsid w:val="00BB4F16"/>
    <w:rsid w:val="00C0393F"/>
    <w:rsid w:val="00C621B7"/>
    <w:rsid w:val="00C654B1"/>
    <w:rsid w:val="00C66100"/>
    <w:rsid w:val="00CB268C"/>
    <w:rsid w:val="00D3412E"/>
    <w:rsid w:val="00D636D4"/>
    <w:rsid w:val="00D82628"/>
    <w:rsid w:val="00DA6A91"/>
    <w:rsid w:val="00DF0578"/>
    <w:rsid w:val="00E31C70"/>
    <w:rsid w:val="00E33C42"/>
    <w:rsid w:val="00E44476"/>
    <w:rsid w:val="00EA01D3"/>
    <w:rsid w:val="00EC1543"/>
    <w:rsid w:val="00EF0E9E"/>
    <w:rsid w:val="00F2242C"/>
    <w:rsid w:val="00F55E79"/>
    <w:rsid w:val="00FA1C4C"/>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3AC01-BBEB-41E6-980D-BEDE721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4C"/>
    <w:pPr>
      <w:autoSpaceDE w:val="0"/>
      <w:autoSpaceDN w:val="0"/>
      <w:spacing w:after="0" w:line="240" w:lineRule="auto"/>
    </w:pPr>
    <w:rPr>
      <w:rFonts w:ascii="Times New Roman" w:eastAsia="Times New Roman" w:hAnsi="Times New Roman" w:cs="Times New Roman"/>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PAddress">
    <w:name w:val="TTP Address"/>
    <w:basedOn w:val="a"/>
    <w:uiPriority w:val="99"/>
    <w:rsid w:val="00FA1C4C"/>
    <w:pPr>
      <w:spacing w:before="120"/>
      <w:jc w:val="center"/>
    </w:pPr>
    <w:rPr>
      <w:rFonts w:ascii="Arial" w:hAnsi="Arial" w:cs="Arial"/>
      <w:sz w:val="22"/>
      <w:szCs w:val="22"/>
      <w:lang w:val="en-US"/>
    </w:rPr>
  </w:style>
  <w:style w:type="paragraph" w:customStyle="1" w:styleId="TTPAuthors">
    <w:name w:val="TTP Author(s)"/>
    <w:basedOn w:val="a"/>
    <w:next w:val="TTPAddress"/>
    <w:uiPriority w:val="99"/>
    <w:rsid w:val="00FA1C4C"/>
    <w:pPr>
      <w:spacing w:before="120"/>
      <w:jc w:val="center"/>
    </w:pPr>
    <w:rPr>
      <w:rFonts w:ascii="Arial" w:hAnsi="Arial" w:cs="Arial"/>
      <w:sz w:val="28"/>
      <w:szCs w:val="28"/>
      <w:lang w:val="en-US"/>
    </w:rPr>
  </w:style>
  <w:style w:type="paragraph" w:customStyle="1" w:styleId="TTPSectionHeading">
    <w:name w:val="TTP Section Heading"/>
    <w:basedOn w:val="a"/>
    <w:next w:val="a"/>
    <w:uiPriority w:val="99"/>
    <w:rsid w:val="00FA1C4C"/>
    <w:pPr>
      <w:spacing w:before="360" w:after="120"/>
      <w:jc w:val="both"/>
    </w:pPr>
    <w:rPr>
      <w:b/>
      <w:bCs/>
      <w:sz w:val="24"/>
      <w:szCs w:val="24"/>
      <w:lang w:val="en-US"/>
    </w:rPr>
  </w:style>
  <w:style w:type="paragraph" w:customStyle="1" w:styleId="TTPKeywords">
    <w:name w:val="TTP Keywords"/>
    <w:basedOn w:val="a"/>
    <w:next w:val="a"/>
    <w:uiPriority w:val="99"/>
    <w:rsid w:val="00FA1C4C"/>
    <w:pPr>
      <w:spacing w:before="360"/>
      <w:jc w:val="both"/>
    </w:pPr>
    <w:rPr>
      <w:rFonts w:ascii="Arial" w:hAnsi="Arial" w:cs="Arial"/>
      <w:sz w:val="22"/>
      <w:szCs w:val="22"/>
      <w:lang w:val="en-US"/>
    </w:rPr>
  </w:style>
  <w:style w:type="paragraph" w:styleId="a3">
    <w:name w:val="Balloon Text"/>
    <w:basedOn w:val="a"/>
    <w:link w:val="a4"/>
    <w:uiPriority w:val="99"/>
    <w:semiHidden/>
    <w:unhideWhenUsed/>
    <w:rsid w:val="00FA1C4C"/>
    <w:rPr>
      <w:rFonts w:ascii="Tahoma" w:hAnsi="Tahoma" w:cs="Tahoma"/>
      <w:sz w:val="16"/>
      <w:szCs w:val="16"/>
    </w:rPr>
  </w:style>
  <w:style w:type="character" w:customStyle="1" w:styleId="a4">
    <w:name w:val="Текст выноски Знак"/>
    <w:basedOn w:val="a0"/>
    <w:link w:val="a3"/>
    <w:uiPriority w:val="99"/>
    <w:semiHidden/>
    <w:rsid w:val="00FA1C4C"/>
    <w:rPr>
      <w:rFonts w:ascii="Tahoma" w:eastAsia="Times New Roman" w:hAnsi="Tahoma" w:cs="Tahoma"/>
      <w:sz w:val="16"/>
      <w:szCs w:val="16"/>
      <w:lang w:val="de-DE"/>
    </w:rPr>
  </w:style>
  <w:style w:type="table" w:styleId="a5">
    <w:name w:val="Table Grid"/>
    <w:basedOn w:val="a1"/>
    <w:uiPriority w:val="59"/>
    <w:rsid w:val="0054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0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95818">
      <w:bodyDiv w:val="1"/>
      <w:marLeft w:val="0"/>
      <w:marRight w:val="0"/>
      <w:marTop w:val="0"/>
      <w:marBottom w:val="0"/>
      <w:divBdr>
        <w:top w:val="none" w:sz="0" w:space="0" w:color="auto"/>
        <w:left w:val="none" w:sz="0" w:space="0" w:color="auto"/>
        <w:bottom w:val="none" w:sz="0" w:space="0" w:color="auto"/>
        <w:right w:val="none" w:sz="0" w:space="0" w:color="auto"/>
      </w:divBdr>
    </w:div>
    <w:div w:id="1176773932">
      <w:bodyDiv w:val="1"/>
      <w:marLeft w:val="0"/>
      <w:marRight w:val="0"/>
      <w:marTop w:val="0"/>
      <w:marBottom w:val="0"/>
      <w:divBdr>
        <w:top w:val="none" w:sz="0" w:space="0" w:color="auto"/>
        <w:left w:val="none" w:sz="0" w:space="0" w:color="auto"/>
        <w:bottom w:val="none" w:sz="0" w:space="0" w:color="auto"/>
        <w:right w:val="none" w:sz="0" w:space="0" w:color="auto"/>
      </w:divBdr>
    </w:div>
    <w:div w:id="1950578791">
      <w:bodyDiv w:val="1"/>
      <w:marLeft w:val="0"/>
      <w:marRight w:val="0"/>
      <w:marTop w:val="0"/>
      <w:marBottom w:val="0"/>
      <w:divBdr>
        <w:top w:val="none" w:sz="0" w:space="0" w:color="auto"/>
        <w:left w:val="none" w:sz="0" w:space="0" w:color="auto"/>
        <w:bottom w:val="none" w:sz="0" w:space="0" w:color="auto"/>
        <w:right w:val="none" w:sz="0" w:space="0" w:color="auto"/>
      </w:divBdr>
      <w:divsChild>
        <w:div w:id="1238980818">
          <w:marLeft w:val="0"/>
          <w:marRight w:val="0"/>
          <w:marTop w:val="0"/>
          <w:marBottom w:val="0"/>
          <w:divBdr>
            <w:top w:val="none" w:sz="0" w:space="0" w:color="auto"/>
            <w:left w:val="none" w:sz="0" w:space="0" w:color="auto"/>
            <w:bottom w:val="none" w:sz="0" w:space="0" w:color="auto"/>
            <w:right w:val="none" w:sz="0" w:space="0" w:color="auto"/>
          </w:divBdr>
          <w:divsChild>
            <w:div w:id="1206287918">
              <w:marLeft w:val="0"/>
              <w:marRight w:val="0"/>
              <w:marTop w:val="0"/>
              <w:marBottom w:val="0"/>
              <w:divBdr>
                <w:top w:val="none" w:sz="0" w:space="0" w:color="auto"/>
                <w:left w:val="none" w:sz="0" w:space="0" w:color="auto"/>
                <w:bottom w:val="none" w:sz="0" w:space="0" w:color="auto"/>
                <w:right w:val="none" w:sz="0" w:space="0" w:color="auto"/>
              </w:divBdr>
              <w:divsChild>
                <w:div w:id="1729255333">
                  <w:marLeft w:val="0"/>
                  <w:marRight w:val="0"/>
                  <w:marTop w:val="0"/>
                  <w:marBottom w:val="0"/>
                  <w:divBdr>
                    <w:top w:val="none" w:sz="0" w:space="0" w:color="auto"/>
                    <w:left w:val="none" w:sz="0" w:space="0" w:color="auto"/>
                    <w:bottom w:val="none" w:sz="0" w:space="0" w:color="auto"/>
                    <w:right w:val="none" w:sz="0" w:space="0" w:color="auto"/>
                  </w:divBdr>
                </w:div>
                <w:div w:id="708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8082">
          <w:marLeft w:val="0"/>
          <w:marRight w:val="0"/>
          <w:marTop w:val="0"/>
          <w:marBottom w:val="0"/>
          <w:divBdr>
            <w:top w:val="none" w:sz="0" w:space="0" w:color="auto"/>
            <w:left w:val="none" w:sz="0" w:space="0" w:color="auto"/>
            <w:bottom w:val="none" w:sz="0" w:space="0" w:color="auto"/>
            <w:right w:val="none" w:sz="0" w:space="0" w:color="auto"/>
          </w:divBdr>
        </w:div>
      </w:divsChild>
    </w:div>
    <w:div w:id="19638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dio.org/node/6072" TargetMode="External"/><Relationship Id="rId5" Type="http://schemas.openxmlformats.org/officeDocument/2006/relationships/webSettings" Target="webSettings.xml"/><Relationship Id="rId10" Type="http://schemas.openxmlformats.org/officeDocument/2006/relationships/hyperlink" Target="http://www.cdio.org/node/6072" TargetMode="External"/><Relationship Id="rId4" Type="http://schemas.openxmlformats.org/officeDocument/2006/relationships/settings" Target="settings.xml"/><Relationship Id="rId9" Type="http://schemas.openxmlformats.org/officeDocument/2006/relationships/hyperlink" Target="http://publications.lib.chalmers.se/records/fulltext/local_14318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588D-5D82-41A5-9831-1F0276B4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Александр Жилин</cp:lastModifiedBy>
  <cp:revision>32</cp:revision>
  <dcterms:created xsi:type="dcterms:W3CDTF">2017-01-30T00:54:00Z</dcterms:created>
  <dcterms:modified xsi:type="dcterms:W3CDTF">2019-02-25T07:24:00Z</dcterms:modified>
</cp:coreProperties>
</file>